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spacing w:line="600" w:lineRule="exact"/>
        <w:jc w:val="both"/>
        <w:rPr>
          <w:rFonts w:hint="default" w:ascii="方正小标宋简体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东莞市“倍增计划”企业遴选考核办法</w:t>
      </w:r>
    </w:p>
    <w:p>
      <w:pPr>
        <w:spacing w:line="60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征求意见</w:t>
      </w:r>
      <w:r>
        <w:rPr>
          <w:rFonts w:hint="eastAsia" w:ascii="Times New Roman" w:hAnsi="Times New Roman" w:eastAsia="楷体_GB2312" w:cs="楷体_GB2312"/>
          <w:sz w:val="32"/>
          <w:szCs w:val="32"/>
        </w:rPr>
        <w:t>稿）</w:t>
      </w:r>
    </w:p>
    <w:p>
      <w:pPr>
        <w:spacing w:line="60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第一条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为落实市委市政府决策部署，完善我市战略性新兴产业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倍增计划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企业遴选与考核工作，实行优胜劣汰、动态调整，推动我市战略性新兴产业高质量发展，制定本办法。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第二条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本办法所称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倍增计划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企业，包括名誉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试点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试点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企业和协同倍增企业。其中，名誉试点企业是指上年度营业收入规模超</w:t>
      </w:r>
      <w:r>
        <w:rPr>
          <w:rFonts w:ascii="Times New Roman" w:hAnsi="Times New Roman" w:eastAsia="仿宋_GB2312" w:cs="Times New Roman"/>
          <w:sz w:val="32"/>
          <w:szCs w:val="32"/>
        </w:rPr>
        <w:t>50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亿元，或者在倍增期限内提前完成营业收入倍增的企业；协同倍增企业作为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倍增计划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”试点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企业的后备库企业。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第三条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倍增期限为</w:t>
      </w:r>
      <w:r>
        <w:rPr>
          <w:rFonts w:ascii="Times New Roman" w:hAnsi="Times New Roman" w:eastAsia="仿宋_GB2312" w:cs="Times New Roman"/>
          <w:sz w:val="32"/>
          <w:szCs w:val="32"/>
        </w:rPr>
        <w:t>2022—2026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年，以</w:t>
      </w:r>
      <w:r>
        <w:rPr>
          <w:rFonts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年为基础年，企业以基础年营业收入数据为依据，在倍增期限内实现营业收入翻一番，年均营业收入增长率目标为</w:t>
      </w:r>
      <w:r>
        <w:rPr>
          <w:rFonts w:ascii="Times New Roman" w:hAnsi="Times New Roman" w:eastAsia="仿宋_GB2312" w:cs="Times New Roman"/>
          <w:sz w:val="32"/>
          <w:szCs w:val="32"/>
        </w:rPr>
        <w:t>15%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，名誉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试点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企业在倍增期限内实现企业营业收入增速达到全市平均水平。如</w:t>
      </w:r>
      <w:r>
        <w:rPr>
          <w:rFonts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年营业收入数据未达申报条件的，则以申报的前一年作为基础年。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第四条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遴选以我市战略性新兴产业和战略性支柱产业为重点方向，优先支持制造业单打冠军、产业链龙头企业、上市企业、专精特新企业等倍增，全市名誉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试点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试点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企业总数控制在</w:t>
      </w:r>
      <w:r>
        <w:rPr>
          <w:rFonts w:ascii="Times New Roman" w:hAnsi="Times New Roman" w:eastAsia="仿宋_GB2312" w:cs="Times New Roman"/>
          <w:sz w:val="32"/>
          <w:szCs w:val="32"/>
        </w:rPr>
        <w:t>500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家左右，协同倍增企业总数</w:t>
      </w:r>
      <w:r>
        <w:rPr>
          <w:rFonts w:ascii="Times New Roman" w:hAnsi="Times New Roman" w:eastAsia="仿宋_GB2312" w:cs="Times New Roman"/>
          <w:sz w:val="32"/>
          <w:szCs w:val="32"/>
        </w:rPr>
        <w:t>500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家左右。</w:t>
      </w:r>
    </w:p>
    <w:p>
      <w:pPr>
        <w:pStyle w:val="6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kern w:val="2"/>
          <w:sz w:val="32"/>
          <w:szCs w:val="32"/>
        </w:rPr>
        <w:t>第五条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遴选考核工作由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东莞市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倍增计划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工作领导小组（以下简称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领导小组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）统筹领导，审定纳入“倍增计划”企业名单，决定遴选考核重大事项。东莞市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倍增计划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工作领导小组办公室（以下简称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市倍增办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）具体负责组织实施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倍增计划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企业遴选申报及考核工作，提出建议名单。</w:t>
      </w:r>
    </w:p>
    <w:p>
      <w:pPr>
        <w:pStyle w:val="6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kern w:val="2"/>
          <w:sz w:val="32"/>
          <w:szCs w:val="32"/>
        </w:rPr>
        <w:t>第六条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市“倍增计划”工作领导小组成员单位，以及各园区和镇街负责配合做好遴选考核工作，其中市工信局、市科技局、市商务局、市金融工作局等责任部门，以及各园区和镇街可向市倍增办推荐企业名单。市发展改革局、市科技局、市工信局、市市场监督管理局、市金融工作局、市统计局、市税务局、东莞海关等部门负责向市倍增办提供相关企业考核评价数据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第七条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完善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倍增计划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高质量评价体系，从企业规模、企业效益、投资规模、研发投入等方面进行综合评价，作为遴选和考核的主要依据，具体评价标准附后。市倍增办可结合我市产业发展和企业培育需要，对评价指标进行适当调整，在每年度的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倍增计划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企业申报通知中予以公布。</w:t>
      </w:r>
    </w:p>
    <w:p>
      <w:pPr>
        <w:numPr>
          <w:ilvl w:val="255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第八条</w:t>
      </w:r>
      <w:r>
        <w:rPr>
          <w:rFonts w:ascii="Times New Roman" w:hAnsi="Times New Roman" w:eastAsia="黑体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倍增计划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企业遴选的基本条件为：</w:t>
      </w:r>
    </w:p>
    <w:p>
      <w:pPr>
        <w:numPr>
          <w:ilvl w:val="255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（一）在我市注册、纳税并具有独立法人资格的规模以上工业企业和服务业企业；</w:t>
      </w:r>
    </w:p>
    <w:p>
      <w:pPr>
        <w:numPr>
          <w:ilvl w:val="255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（二）名誉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试点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企业上年度营业收入一般达到</w:t>
      </w:r>
      <w:r>
        <w:rPr>
          <w:rFonts w:ascii="Times New Roman" w:hAnsi="Times New Roman" w:eastAsia="仿宋_GB2312" w:cs="Times New Roman"/>
          <w:sz w:val="32"/>
          <w:szCs w:val="32"/>
        </w:rPr>
        <w:t>50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亿元，制造业和生产性服务业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试点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企业上年度营业收入一般不低于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亿元，软件与信息技术服务业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试点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企业上年度营业收入一般不低于</w:t>
      </w:r>
      <w:r>
        <w:rPr>
          <w:rFonts w:ascii="Times New Roman" w:hAnsi="Times New Roman" w:eastAsia="仿宋_GB2312" w:cs="Times New Roman"/>
          <w:sz w:val="32"/>
          <w:szCs w:val="32"/>
        </w:rPr>
        <w:t>3000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万元，协同倍增企业上年度营业收入一般不低于</w:t>
      </w:r>
      <w:r>
        <w:rPr>
          <w:rFonts w:ascii="Times New Roman" w:hAnsi="Times New Roman" w:eastAsia="仿宋_GB2312" w:cs="Times New Roman"/>
          <w:sz w:val="32"/>
          <w:szCs w:val="32"/>
        </w:rPr>
        <w:t>2000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万元；</w:t>
      </w:r>
    </w:p>
    <w:p>
      <w:pPr>
        <w:numPr>
          <w:ilvl w:val="255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（三）企业未被列入失信人名单、未发生重大安全生产事故。</w:t>
      </w:r>
    </w:p>
    <w:p>
      <w:pPr>
        <w:numPr>
          <w:ilvl w:val="255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第九条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对上一轮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倍增计划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未到期的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倍增计划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试点企业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，免于申请，经考核通过后直接作为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倍增计划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试点企业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第十条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遴选和考核工作每年开展一次。市倍增办根据上年度考核结果，确定本年度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试点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企业规模后，组织开展遴选。新遴选的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试点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企业，</w:t>
      </w:r>
      <w:r>
        <w:rPr>
          <w:rFonts w:ascii="Times New Roman" w:hAnsi="Times New Roman" w:eastAsia="仿宋_GB2312" w:cs="Times New Roman"/>
          <w:sz w:val="32"/>
          <w:szCs w:val="32"/>
        </w:rPr>
        <w:t>80%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依据申报企业客观指标评分由高至低直接确定；其余的</w:t>
      </w:r>
      <w:r>
        <w:rPr>
          <w:rFonts w:ascii="Times New Roman" w:hAnsi="Times New Roman" w:eastAsia="仿宋_GB2312" w:cs="Times New Roman"/>
          <w:sz w:val="32"/>
          <w:szCs w:val="32"/>
        </w:rPr>
        <w:t>20%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分别由市工信局、市科技局、市商务局和市金融工作局，以及园区和镇街，从申报企业中推荐，经市倍增办综合统筹后，报领导小组会议审定。</w:t>
      </w:r>
    </w:p>
    <w:p>
      <w:pPr>
        <w:numPr>
          <w:ilvl w:val="255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第十一条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遴选程序包括发布申报通知、形式审查、征求部门意见、拟定动态调整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建议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名单、会议审议、社会公示、公布名单。每年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月末启动遴选工作，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月底前完成，以市倍增办名义印发名誉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试点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试点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企业名单。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第十二条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每年第一季度，市倍增办对上一年度在库的名誉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试点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试点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进行考核，考核指标为企业客观指标评分和营业收入累计增长情况。企业客观指标评分超过（包含等于）考核底线分即为达标，企业上一年度营业收入超过（包含等于）对应年份营业收入目标值为达标。考核结果为客观指标评分和营业收入累计增长均不达标的企业，原则上退出“倍增计划”。倍增期内，企业营业收入累计增长提前实现倍增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试点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企业，列入名誉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试点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企业。</w:t>
      </w:r>
    </w:p>
    <w:p>
      <w:pPr>
        <w:numPr>
          <w:ilvl w:val="255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第十三条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在库的名誉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试点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试点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企业经营发展遇到特殊变化，结合客观指标评分，经专家评估不再具备高质量倍增发展可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行性的，可经领导小组同意后退出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倍增计划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企业库。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第十四条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对拟退出“倍增计划”的名誉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试点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试点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企业，市工信局、市科技局、市商务局和市金融工作局可向市倍增办提出保留建议名单，总数一般不超过拟退出企业数的</w:t>
      </w:r>
      <w:r>
        <w:rPr>
          <w:rFonts w:ascii="Times New Roman" w:hAnsi="Times New Roman" w:eastAsia="仿宋_GB2312" w:cs="Times New Roman"/>
          <w:sz w:val="32"/>
          <w:szCs w:val="32"/>
        </w:rPr>
        <w:t>20%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。必要时，市倍增办可组织专家评审，作为是否保留的参考。</w:t>
      </w:r>
    </w:p>
    <w:p>
      <w:pPr>
        <w:numPr>
          <w:ilvl w:val="255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第十五条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协同倍增企业的遴选和考核工作，由市倍增办根据客观指标评分排名，由高至低提出建议名单。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第十六条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市倍增办结合年度考核退出企业、考核保留的以及遴选新入选的名誉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试点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试点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企业和协同倍增企业的建议名单，形成市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倍增计划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企业年度动态调整建议，提请领导小组会议审议。</w:t>
      </w:r>
    </w:p>
    <w:p>
      <w:pPr>
        <w:numPr>
          <w:ilvl w:val="255"/>
          <w:numId w:val="0"/>
        </w:num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第十七条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考核和遴选工作完成后，需要新纳入“倍增计划”的，市工信局、市科技局、市商务局和市金融工作局，以及各园区和镇街可以提出建议企业，报市倍增办组织评价后，以“一事一议”方式报领导小组会议审定。</w:t>
      </w:r>
    </w:p>
    <w:p>
      <w:pPr>
        <w:numPr>
          <w:ilvl w:val="255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第十八条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年前经批准以合并报表数据参与考核的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“倍增计划”试点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企业，原则上各年度需提供有效的审计（会计）说明。以合并报表形式在库的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“倍增计划”试点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企业，考核和享受政策的企业主体以年度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倍增计划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企业通报文件为准。</w:t>
      </w:r>
      <w:r>
        <w:rPr>
          <w:rFonts w:ascii="Times New Roman" w:hAnsi="Times New Roman" w:eastAsia="仿宋_GB2312" w:cs="Times New Roman"/>
          <w:sz w:val="32"/>
          <w:szCs w:val="32"/>
        </w:rPr>
        <w:t>2022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年后原则上不接受企业以合并报表形式参与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倍增计划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申报。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第十九条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本办法由市倍增办负责解释，自印发之日起施行，有效期至</w:t>
      </w:r>
      <w:r>
        <w:rPr>
          <w:rFonts w:ascii="Times New Roman" w:hAnsi="Times New Roman" w:eastAsia="仿宋_GB2312" w:cs="Times New Roman"/>
          <w:sz w:val="32"/>
          <w:szCs w:val="32"/>
        </w:rPr>
        <w:t>2026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31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日，此前发布的文件有与本办法相抵触的，以本办法为准。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left="2238" w:leftChars="304" w:hanging="1600" w:hanging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附表：东莞市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倍增计划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企业高质量评价指标评分表</w:t>
      </w:r>
    </w:p>
    <w:p>
      <w:pPr>
        <w:spacing w:line="60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2041" w:right="1531" w:bottom="2041" w:left="1531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640" w:lineRule="exact"/>
        <w:textAlignment w:val="baseline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附表：</w:t>
      </w:r>
    </w:p>
    <w:p>
      <w:pPr>
        <w:spacing w:line="64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东莞市“倍增计划”企业高质量评价指标评分表</w:t>
      </w:r>
    </w:p>
    <w:p>
      <w:pPr>
        <w:spacing w:line="640" w:lineRule="exact"/>
        <w:ind w:firstLine="880" w:firstLineChars="200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4"/>
        <w:tblW w:w="12782" w:type="dxa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"/>
        <w:gridCol w:w="887"/>
        <w:gridCol w:w="668"/>
        <w:gridCol w:w="3453"/>
        <w:gridCol w:w="6659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Header/>
        </w:trPr>
        <w:tc>
          <w:tcPr>
            <w:tcW w:w="33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87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668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小类</w:t>
            </w:r>
          </w:p>
        </w:tc>
        <w:tc>
          <w:tcPr>
            <w:tcW w:w="3453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指标内容</w:t>
            </w:r>
          </w:p>
        </w:tc>
        <w:tc>
          <w:tcPr>
            <w:tcW w:w="665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33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基准指标（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基准指标（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企业效益规模</w:t>
            </w:r>
          </w:p>
        </w:tc>
        <w:tc>
          <w:tcPr>
            <w:tcW w:w="3453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上年营业收入</w:t>
            </w:r>
          </w:p>
        </w:tc>
        <w:tc>
          <w:tcPr>
            <w:tcW w:w="665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得分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=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企业营业收入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亿元）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*15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，最多不超过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分。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33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上年利润总额</w:t>
            </w:r>
          </w:p>
        </w:tc>
        <w:tc>
          <w:tcPr>
            <w:tcW w:w="665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得分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=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企业利润总额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万元），最多不超过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分，最少不低于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分。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1" w:hRule="atLeast"/>
        </w:trPr>
        <w:tc>
          <w:tcPr>
            <w:tcW w:w="33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上年税收贡献（实缴税额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进出口退税额）</w:t>
            </w:r>
          </w:p>
        </w:tc>
        <w:tc>
          <w:tcPr>
            <w:tcW w:w="665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得分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上年税收贡献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万元）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*15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，最多不超过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※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得分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上年税收贡献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万元）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*15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，最多不超过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（软件和信息技术服务业）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33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企业效益增速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企业效益增速</w:t>
            </w:r>
          </w:p>
        </w:tc>
        <w:tc>
          <w:tcPr>
            <w:tcW w:w="3453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前年营业收入增长率（同比）</w:t>
            </w:r>
          </w:p>
        </w:tc>
        <w:tc>
          <w:tcPr>
            <w:tcW w:w="665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前年营业收入增长率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=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（前年营业收入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前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年营业收入）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前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年营业收入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*100%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，得分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=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前年企业营业收入增长率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25%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*8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，最多不超过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分，最少不低于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-8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分。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33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87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53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前年税收贡献增长率（同比）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65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前年税收贡献增长率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=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（前年税收贡献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前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年税收贡献）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前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年税收贡献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*100%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，得分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=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前年税收贡献增长率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25%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*7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，最多不超过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分，最少不低于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分。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33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887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53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上年营业收入增长率（同比）</w:t>
            </w:r>
          </w:p>
        </w:tc>
        <w:tc>
          <w:tcPr>
            <w:tcW w:w="665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上年营业收入增长率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=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（上年营业收入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前年营业收入）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前年营业收入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*100%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，得分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=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上年企业营业收入增长率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25%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*10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，最多不超过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分，最少不低于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-10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分。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1" w:hRule="atLeast"/>
        </w:trPr>
        <w:tc>
          <w:tcPr>
            <w:tcW w:w="33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53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上年税收贡献增长率（同比）</w:t>
            </w:r>
          </w:p>
        </w:tc>
        <w:tc>
          <w:tcPr>
            <w:tcW w:w="665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上年税收贡献增长率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=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（上年税收贡献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前年税收贡献）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前年税收贡献绝对值，得分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=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上年税收贡献增长率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25%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*10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，最多不超过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分，最少不低于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分。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33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盈利能力</w:t>
            </w:r>
          </w:p>
        </w:tc>
        <w:tc>
          <w:tcPr>
            <w:tcW w:w="3453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上年资产利润率</w:t>
            </w:r>
          </w:p>
        </w:tc>
        <w:tc>
          <w:tcPr>
            <w:tcW w:w="665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上年企业资产利润率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=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利润总额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资产总额，得分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=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上年企业资产利润率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20%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*15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，最多不超过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分，最少不低于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-15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分。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33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投资规模</w:t>
            </w:r>
          </w:p>
        </w:tc>
        <w:tc>
          <w:tcPr>
            <w:tcW w:w="3453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上年工业投资总额</w:t>
            </w:r>
          </w:p>
        </w:tc>
        <w:tc>
          <w:tcPr>
            <w:tcW w:w="665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得分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=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企业工业投资总额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500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万元），最多不超过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分。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33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887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加分指标（最高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科技研发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科技研发</w:t>
            </w:r>
          </w:p>
        </w:tc>
        <w:tc>
          <w:tcPr>
            <w:tcW w:w="3453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上年研发投入占营业收入比例</w:t>
            </w:r>
          </w:p>
        </w:tc>
        <w:tc>
          <w:tcPr>
            <w:tcW w:w="665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得分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=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企业研发投入占营业收入比例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0.5%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），最多不超过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分。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8" w:hRule="atLeast"/>
        </w:trPr>
        <w:tc>
          <w:tcPr>
            <w:tcW w:w="33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887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专利</w:t>
            </w:r>
          </w:p>
        </w:tc>
        <w:tc>
          <w:tcPr>
            <w:tcW w:w="665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项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PCT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专利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项发明专利授权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分；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项实用新型专利授权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分；本项可累计，最高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分。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</w:trPr>
        <w:tc>
          <w:tcPr>
            <w:tcW w:w="33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887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进出口</w:t>
            </w:r>
          </w:p>
        </w:tc>
        <w:tc>
          <w:tcPr>
            <w:tcW w:w="3453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上年进出口额</w:t>
            </w:r>
          </w:p>
        </w:tc>
        <w:tc>
          <w:tcPr>
            <w:tcW w:w="665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亿元以上，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分；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5-10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亿元（不含），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分；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2-5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亿元（不含），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分；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1-2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亿元（不含），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分；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3000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亿元（不含），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分；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3000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万以下，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分。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1" w:hRule="atLeast"/>
        </w:trPr>
        <w:tc>
          <w:tcPr>
            <w:tcW w:w="33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上年进出口增长率</w:t>
            </w:r>
          </w:p>
        </w:tc>
        <w:tc>
          <w:tcPr>
            <w:tcW w:w="665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上年进出口增长率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=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（上年进出口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前年进出口）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前年进出口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*100%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，得分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=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上年企业进出口增长率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25%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*4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，最多不超过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分，最少不低于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分。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33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887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企业称号</w:t>
            </w:r>
          </w:p>
        </w:tc>
        <w:tc>
          <w:tcPr>
            <w:tcW w:w="3453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专精特新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中小企业、工业设计中心、服务型制造示范企业、平台、高新技术企业、工程技术研究中心、重点实验室</w:t>
            </w:r>
          </w:p>
        </w:tc>
        <w:tc>
          <w:tcPr>
            <w:tcW w:w="665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国家专精特新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小巨人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企业，得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分；省专精特新中小企业，得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分；市专精特新中小企业，得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分。国家级工业设计中心，得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分；省级工业设计中心，得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分；市级工业设计中心，得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分。国家级服务型制造示范企业、平台，得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分；省级服务型制造示范企业、平台，得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分；市级服务型制造示范企业、平台，得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分。省级以上工程技术研究中心、省级以上重点实验室、百强创新型企业，得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分；市级工程技术研究中心、市级重点实验室、瞪羚企业，得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分；高新技术企业、得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分。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</w:trPr>
        <w:tc>
          <w:tcPr>
            <w:tcW w:w="33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887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项目规模</w:t>
            </w:r>
          </w:p>
        </w:tc>
        <w:tc>
          <w:tcPr>
            <w:tcW w:w="3453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重大项目情况</w:t>
            </w:r>
          </w:p>
        </w:tc>
        <w:tc>
          <w:tcPr>
            <w:tcW w:w="665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市级重大项目，得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分。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5" w:hRule="atLeast"/>
        </w:trPr>
        <w:tc>
          <w:tcPr>
            <w:tcW w:w="33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887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资本运营</w:t>
            </w:r>
          </w:p>
        </w:tc>
        <w:tc>
          <w:tcPr>
            <w:tcW w:w="3453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上市运作情况</w:t>
            </w:r>
          </w:p>
        </w:tc>
        <w:tc>
          <w:tcPr>
            <w:tcW w:w="665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已上市企业（含境内外）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分；排队企业（中国证监会、交易所已受理）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分；在广东证监局备案企业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分；上市后备企业和新三板挂牌企业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分。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 w:hRule="atLeast"/>
        </w:trPr>
        <w:tc>
          <w:tcPr>
            <w:tcW w:w="33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887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品牌认证</w:t>
            </w:r>
          </w:p>
        </w:tc>
        <w:tc>
          <w:tcPr>
            <w:tcW w:w="3453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中国驰名商标及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AEO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认证</w:t>
            </w:r>
          </w:p>
        </w:tc>
        <w:tc>
          <w:tcPr>
            <w:tcW w:w="665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获中国驰名商标，得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分；获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AEO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高级认证，得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分；海关其他注册登记和备案企业，得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分。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</w:trPr>
        <w:tc>
          <w:tcPr>
            <w:tcW w:w="33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887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行业导向</w:t>
            </w:r>
          </w:p>
        </w:tc>
        <w:tc>
          <w:tcPr>
            <w:tcW w:w="3453" w:type="dxa"/>
            <w:tcBorders>
              <w:left w:val="nil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行业类别</w:t>
            </w:r>
          </w:p>
        </w:tc>
        <w:tc>
          <w:tcPr>
            <w:tcW w:w="6659" w:type="dxa"/>
            <w:tcBorders>
              <w:left w:val="nil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行业属于《东莞市制造业高质量发展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十四五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规划》中的战略性支柱产业和战略性新兴产业。即新一代电子信息、高端装备制造、纺织服装鞋帽、食品饮料等四个支柱产业，以及软件与信息服务、新材料、新能源、生物医药及高端医疗器械、半导体及集成电路等五个新兴产业，得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分。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003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指标评分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分</w:t>
            </w:r>
          </w:p>
        </w:tc>
      </w:tr>
    </w:tbl>
    <w:p>
      <w:pPr>
        <w:spacing w:line="64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宋体"/>
        </w:rPr>
        <w:t>注：标</w:t>
      </w:r>
      <w:r>
        <w:rPr>
          <w:rFonts w:hint="eastAsia" w:ascii="宋体" w:hAnsi="宋体" w:cs="宋体"/>
          <w:sz w:val="24"/>
          <w:szCs w:val="24"/>
        </w:rPr>
        <w:t>※</w:t>
      </w:r>
      <w:r>
        <w:rPr>
          <w:rFonts w:hint="eastAsia" w:ascii="Times New Roman" w:hAnsi="Times New Roman" w:cs="宋体"/>
        </w:rPr>
        <w:t>的是针对软件和信息服务业的指标标准。</w:t>
      </w:r>
    </w:p>
    <w:p>
      <w:pPr>
        <w:spacing w:line="520" w:lineRule="exact"/>
        <w:textAlignment w:val="baseline"/>
        <w:rPr>
          <w:rFonts w:cs="Times New Roman"/>
          <w:kern w:val="0"/>
        </w:rPr>
      </w:pPr>
    </w:p>
    <w:p/>
    <w:sectPr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-105410</wp:posOffset>
              </wp:positionV>
              <wp:extent cx="782955" cy="31623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955" cy="316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hint="eastAsia" w:ascii="Times New Roman" w:hAnsi="Times New Roman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宋体"/>
                              <w:sz w:val="28"/>
                              <w:szCs w:val="28"/>
                              <w:lang w:val="zh-CN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4097" o:spid="_x0000_s1026" o:spt="1" style="position:absolute;left:0pt;margin-top:-8.3pt;height:24.9pt;width:61.65pt;mso-position-horizontal:outside;mso-position-horizontal-relative:margin;z-index:251659264;mso-width-relative:page;mso-height-relative:page;" filled="f" stroked="f" coordsize="21600,21600" o:gfxdata="UEsDBAoAAAAAAIdO4kAAAAAAAAAAAAAAAAAEAAAAZHJzL1BLAwQUAAAACACHTuJA/P5ymdYAAAAH&#10;AQAADwAAAGRycy9kb3ducmV2LnhtbE2PzWrDMBCE74W+g9hCb4n8Q53gWg6lUOitNA34urG2tqm1&#10;MpKcOHn6Kqf2uMzOzDfVbjGjOJHzg2UF6ToBQdxaPXCn4PD1ttqC8AFZ42iZFFzIw66+v6uw1PbM&#10;n3Tah07EEPYlKuhDmEopfduTQb+2E3HUvq0zGOLpOqkdnmO4GWWWJIU0OHBs6HGi157an/1sIsb1&#10;5alZPuycbZqrceGyeW+2TqnHhzR5BhFoCX/PcMOPHqgj09HOrL0YFcQhQcEqLQoQNznLcxBHBXme&#10;gawr+Z+//gVQSwMEFAAAAAgAh07iQLYM2l2rAQAAaQMAAA4AAABkcnMvZTJvRG9jLnhtbK1Ty27b&#10;MBC8F+g/ELzXku3aSQTLuRgpChRtgKQfQFOkRYAv7NKW/Pdd0rJTpJcceqGWXO7szCy1eRydZScF&#10;aIJv+XxWc6a8DJ3xh5b/fn36cs8ZJuE7YYNXLT8r5I/bz582Q2zUIvTBdgoYgXhshtjyPqXYVBXK&#10;XjmBsxCVp6QO4ESiLRyqDsRA6M5Wi7peV0OALkKQCpFOd5cknxDhI4BBayPVLsijUz5dUEFZkUgS&#10;9iYi3xa2WiuZfmmNKjHbclKaykpNKN7ntdpuRHMAEXsjJwriIxTeaXLCeGp6g9qJJNgRzD9QzkgI&#10;GHSayeCqi5DiCKmY1++8eelFVEULWY3xZjr+P1j58/QMzHT0EjjzwtHAv9YPd9mXIWJD6Zf4DNMO&#10;KcwiRw0uf4k+G4uX55uXakxM0uHd/eJhteJMUmo5Xy+WxevqrTgCpm8qOJaDlgONqjgoTj8wUUO6&#10;er2Se/nwZKwt47KeDS1fL1d1KbhlqMJ6KszEL1RzlMb9OPHfh+5Mau13Tw7m13AN4Brsr8Exgjn0&#10;xGuerSiQNIHCanotecR/78uttz9k+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8/nKZ1gAAAAcB&#10;AAAPAAAAAAAAAAEAIAAAACIAAABkcnMvZG93bnJldi54bWxQSwECFAAUAAAACACHTuJAtgzaXasB&#10;AABpAwAADgAAAAAAAAABACAAAAAlAQAAZHJzL2Uyb0RvYy54bWxQSwUGAAAAAAYABgBZAQAAQg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Fonts w:hint="eastAsia" w:ascii="Times New Roman" w:hAnsi="Times New Roman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宋体"/>
                        <w:sz w:val="28"/>
                        <w:szCs w:val="28"/>
                        <w:lang w:val="zh-CN"/>
                      </w:rPr>
                      <w:t>－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700A2"/>
    <w:rsid w:val="14D700A2"/>
    <w:rsid w:val="1DFC4D03"/>
    <w:rsid w:val="1EC16604"/>
    <w:rsid w:val="3CA87D6E"/>
    <w:rsid w:val="61B0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方正小标宋简体" w:eastAsia="方正小标宋简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2022-04-18T02:22:00Z</dcterms:created>
  <dc:creator>星雄</dc:creator>
  <cp:lastModifiedBy>Jenny (耶稣)</cp:lastModifiedBy>
  <dcterms:modified xsi:type="dcterms:W3CDTF">2022-04-18T07:16:19Z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A17E526C13294134815CB8F8623C5C03</vt:lpwstr>
  </property>
</Properties>
</file>