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A1EA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eastAsia="zh-CN"/>
        </w:rPr>
        <w:t>附件</w:t>
      </w:r>
      <w:r>
        <w:rPr>
          <w:rFonts w:hint="eastAsia" w:ascii="Times New Roman" w:hAnsi="Times New Roman" w:eastAsia="方正黑体_GBK" w:cs="Times New Roman"/>
          <w:b w:val="0"/>
          <w:bCs w:val="0"/>
          <w:sz w:val="32"/>
          <w:szCs w:val="32"/>
          <w:lang w:val="en-US" w:eastAsia="zh-CN"/>
        </w:rPr>
        <w:t>1</w:t>
      </w:r>
      <w:r>
        <w:rPr>
          <w:rFonts w:hint="default" w:ascii="Times New Roman" w:hAnsi="Times New Roman" w:eastAsia="方正黑体_GBK" w:cs="Times New Roman"/>
          <w:b w:val="0"/>
          <w:bCs w:val="0"/>
          <w:sz w:val="32"/>
          <w:szCs w:val="32"/>
          <w:lang w:val="en-US" w:eastAsia="zh-CN"/>
        </w:rPr>
        <w:t>：</w:t>
      </w:r>
    </w:p>
    <w:p w14:paraId="16CAB4B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仿宋" w:cs="Times New Roman"/>
          <w:b/>
          <w:bCs/>
          <w:sz w:val="36"/>
          <w:szCs w:val="36"/>
        </w:rPr>
        <w:br w:type="textWrapping"/>
      </w:r>
      <w:r>
        <w:rPr>
          <w:rFonts w:hint="default" w:ascii="Times New Roman" w:hAnsi="Times New Roman" w:eastAsia="方正小标宋简体" w:cs="Times New Roman"/>
          <w:b w:val="0"/>
          <w:bCs w:val="0"/>
          <w:sz w:val="44"/>
          <w:szCs w:val="44"/>
        </w:rPr>
        <w:t>中国人民财产保险股份有限公司东莞市</w:t>
      </w:r>
    </w:p>
    <w:p w14:paraId="11122CC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分公司“保险+服务”方案</w:t>
      </w:r>
    </w:p>
    <w:p w14:paraId="725AC848">
      <w:pPr>
        <w:keepNext w:val="0"/>
        <w:keepLines w:val="0"/>
        <w:pageBreakBefore w:val="0"/>
        <w:widowControl w:val="0"/>
        <w:kinsoku/>
        <w:wordWrap/>
        <w:overflowPunct/>
        <w:topLinePunct w:val="0"/>
        <w:autoSpaceDE/>
        <w:autoSpaceDN/>
        <w:bidi w:val="0"/>
        <w:adjustRightInd/>
        <w:snapToGrid/>
        <w:spacing w:line="640" w:lineRule="exact"/>
        <w:ind w:left="883" w:hanging="883" w:hangingChars="200"/>
        <w:jc w:val="left"/>
        <w:textAlignment w:val="auto"/>
        <w:rPr>
          <w:rFonts w:hint="default" w:ascii="Times New Roman" w:hAnsi="Times New Roman" w:eastAsia="仿宋" w:cs="Times New Roman"/>
          <w:b/>
          <w:bCs/>
          <w:sz w:val="24"/>
        </w:rPr>
      </w:pPr>
      <w:r>
        <w:rPr>
          <w:rFonts w:hint="default" w:ascii="Times New Roman" w:hAnsi="Times New Roman" w:eastAsia="方正小标宋简体" w:cs="Times New Roman"/>
          <w:b/>
          <w:bCs/>
          <w:sz w:val="44"/>
          <w:szCs w:val="44"/>
        </w:rPr>
        <w:br w:type="textWrapping"/>
      </w:r>
      <w:r>
        <w:rPr>
          <w:rFonts w:hint="default" w:ascii="Times New Roman" w:hAnsi="Times New Roman" w:eastAsia="方正黑体_GBK" w:cs="Times New Roman"/>
          <w:b w:val="0"/>
          <w:bCs w:val="0"/>
          <w:sz w:val="32"/>
          <w:szCs w:val="32"/>
        </w:rPr>
        <w:t>一、“保险+服务”方案</w:t>
      </w:r>
    </w:p>
    <w:tbl>
      <w:tblPr>
        <w:tblStyle w:val="9"/>
        <w:tblW w:w="94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1425"/>
        <w:gridCol w:w="102"/>
        <w:gridCol w:w="1130"/>
        <w:gridCol w:w="280"/>
        <w:gridCol w:w="930"/>
        <w:gridCol w:w="450"/>
        <w:gridCol w:w="828"/>
        <w:gridCol w:w="597"/>
        <w:gridCol w:w="644"/>
        <w:gridCol w:w="736"/>
        <w:gridCol w:w="532"/>
        <w:gridCol w:w="1209"/>
      </w:tblGrid>
      <w:tr w14:paraId="060D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79" w:type="dxa"/>
            <w:vMerge w:val="restart"/>
            <w:vAlign w:val="center"/>
          </w:tcPr>
          <w:p w14:paraId="0EA84D08">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保险项目</w:t>
            </w:r>
          </w:p>
        </w:tc>
        <w:tc>
          <w:tcPr>
            <w:tcW w:w="2657" w:type="dxa"/>
            <w:gridSpan w:val="3"/>
            <w:vAlign w:val="center"/>
          </w:tcPr>
          <w:p w14:paraId="03155602">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保险项目</w:t>
            </w:r>
          </w:p>
        </w:tc>
        <w:tc>
          <w:tcPr>
            <w:tcW w:w="1210" w:type="dxa"/>
            <w:gridSpan w:val="2"/>
            <w:vAlign w:val="center"/>
          </w:tcPr>
          <w:p w14:paraId="7028F040">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方案一</w:t>
            </w:r>
          </w:p>
        </w:tc>
        <w:tc>
          <w:tcPr>
            <w:tcW w:w="1278" w:type="dxa"/>
            <w:gridSpan w:val="2"/>
            <w:vAlign w:val="center"/>
          </w:tcPr>
          <w:p w14:paraId="240256DD">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方案二</w:t>
            </w:r>
          </w:p>
        </w:tc>
        <w:tc>
          <w:tcPr>
            <w:tcW w:w="1241" w:type="dxa"/>
            <w:gridSpan w:val="2"/>
            <w:vAlign w:val="center"/>
          </w:tcPr>
          <w:p w14:paraId="34A15CC8">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方案三</w:t>
            </w:r>
          </w:p>
        </w:tc>
        <w:tc>
          <w:tcPr>
            <w:tcW w:w="1268" w:type="dxa"/>
            <w:gridSpan w:val="2"/>
            <w:vAlign w:val="center"/>
          </w:tcPr>
          <w:p w14:paraId="5E7639A8">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方案四</w:t>
            </w:r>
          </w:p>
        </w:tc>
        <w:tc>
          <w:tcPr>
            <w:tcW w:w="1209" w:type="dxa"/>
            <w:vAlign w:val="center"/>
          </w:tcPr>
          <w:p w14:paraId="5B24A8E3">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方案五</w:t>
            </w:r>
          </w:p>
        </w:tc>
      </w:tr>
      <w:tr w14:paraId="56F9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579" w:type="dxa"/>
            <w:vMerge w:val="continue"/>
            <w:vAlign w:val="center"/>
          </w:tcPr>
          <w:p w14:paraId="3E60CEA0">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w:t>
            </w:r>
          </w:p>
        </w:tc>
        <w:tc>
          <w:tcPr>
            <w:tcW w:w="1425" w:type="dxa"/>
            <w:vAlign w:val="center"/>
          </w:tcPr>
          <w:p w14:paraId="40989671">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风险类别</w:t>
            </w:r>
          </w:p>
        </w:tc>
        <w:tc>
          <w:tcPr>
            <w:tcW w:w="1232" w:type="dxa"/>
            <w:gridSpan w:val="2"/>
            <w:vAlign w:val="center"/>
          </w:tcPr>
          <w:p w14:paraId="2BD36B6F">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保障</w:t>
            </w:r>
            <w:r>
              <w:rPr>
                <w:rFonts w:hint="default"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名称</w:t>
            </w:r>
          </w:p>
        </w:tc>
        <w:tc>
          <w:tcPr>
            <w:tcW w:w="1210" w:type="dxa"/>
            <w:gridSpan w:val="2"/>
            <w:vAlign w:val="center"/>
          </w:tcPr>
          <w:p w14:paraId="4E2CF0A3">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累计</w:t>
            </w:r>
            <w:r>
              <w:rPr>
                <w:rFonts w:hint="default"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限额</w:t>
            </w:r>
            <w:r>
              <w:rPr>
                <w:rFonts w:hint="default" w:ascii="Times New Roman" w:hAnsi="Times New Roman" w:eastAsia="仿宋_GB2312" w:cs="Times New Roman"/>
                <w:b w:val="0"/>
                <w:bCs w:val="0"/>
                <w:sz w:val="28"/>
                <w:szCs w:val="28"/>
              </w:rPr>
              <w:br w:type="textWrapping"/>
            </w:r>
            <w:r>
              <w:rPr>
                <w:rFonts w:hint="default" w:ascii="Times New Roman" w:hAnsi="Times New Roman" w:eastAsia="仿宋_GB2312" w:cs="Times New Roman"/>
                <w:b w:val="0"/>
                <w:bCs w:val="0"/>
                <w:sz w:val="28"/>
                <w:szCs w:val="28"/>
              </w:rPr>
              <w:t>（万元）</w:t>
            </w:r>
          </w:p>
        </w:tc>
        <w:tc>
          <w:tcPr>
            <w:tcW w:w="1278" w:type="dxa"/>
            <w:gridSpan w:val="2"/>
            <w:vAlign w:val="center"/>
          </w:tcPr>
          <w:p w14:paraId="0E94D47A">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累计</w:t>
            </w:r>
            <w:r>
              <w:rPr>
                <w:rFonts w:hint="default"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限额</w:t>
            </w:r>
          </w:p>
          <w:p w14:paraId="5D255459">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（万元）</w:t>
            </w:r>
          </w:p>
        </w:tc>
        <w:tc>
          <w:tcPr>
            <w:tcW w:w="1241" w:type="dxa"/>
            <w:gridSpan w:val="2"/>
            <w:vAlign w:val="center"/>
          </w:tcPr>
          <w:p w14:paraId="21A5FECB">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累计</w:t>
            </w:r>
            <w:r>
              <w:rPr>
                <w:rFonts w:hint="default"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限额</w:t>
            </w:r>
          </w:p>
          <w:p w14:paraId="7777DD5F">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（万元）</w:t>
            </w:r>
          </w:p>
        </w:tc>
        <w:tc>
          <w:tcPr>
            <w:tcW w:w="1268" w:type="dxa"/>
            <w:gridSpan w:val="2"/>
            <w:vAlign w:val="center"/>
          </w:tcPr>
          <w:p w14:paraId="0C30A883">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累计</w:t>
            </w:r>
            <w:r>
              <w:rPr>
                <w:rFonts w:hint="default"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限额</w:t>
            </w:r>
          </w:p>
          <w:p w14:paraId="4A5224F8">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（万元）</w:t>
            </w:r>
          </w:p>
        </w:tc>
        <w:tc>
          <w:tcPr>
            <w:tcW w:w="1209" w:type="dxa"/>
            <w:vMerge w:val="restart"/>
            <w:vAlign w:val="center"/>
          </w:tcPr>
          <w:p w14:paraId="25FB168B">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定制化方案</w:t>
            </w:r>
          </w:p>
        </w:tc>
      </w:tr>
      <w:tr w14:paraId="5B42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79" w:type="dxa"/>
            <w:vMerge w:val="continue"/>
            <w:vAlign w:val="center"/>
          </w:tcPr>
          <w:p w14:paraId="497BF9A3">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425" w:type="dxa"/>
            <w:vAlign w:val="center"/>
          </w:tcPr>
          <w:p w14:paraId="154C74BD">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第一方</w:t>
            </w:r>
            <w:r>
              <w:rPr>
                <w:rFonts w:hint="eastAsia"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损失</w:t>
            </w:r>
          </w:p>
        </w:tc>
        <w:tc>
          <w:tcPr>
            <w:tcW w:w="1232" w:type="dxa"/>
            <w:gridSpan w:val="2"/>
            <w:vAlign w:val="center"/>
          </w:tcPr>
          <w:p w14:paraId="6D6CE540">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 xml:space="preserve">网络勒索费用 </w:t>
            </w:r>
          </w:p>
        </w:tc>
        <w:tc>
          <w:tcPr>
            <w:tcW w:w="1210" w:type="dxa"/>
            <w:gridSpan w:val="2"/>
            <w:vAlign w:val="center"/>
          </w:tcPr>
          <w:p w14:paraId="383A5A3F">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30</w:t>
            </w:r>
          </w:p>
        </w:tc>
        <w:tc>
          <w:tcPr>
            <w:tcW w:w="1278" w:type="dxa"/>
            <w:gridSpan w:val="2"/>
            <w:vAlign w:val="center"/>
          </w:tcPr>
          <w:p w14:paraId="28274BBE">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60</w:t>
            </w:r>
          </w:p>
        </w:tc>
        <w:tc>
          <w:tcPr>
            <w:tcW w:w="1241" w:type="dxa"/>
            <w:gridSpan w:val="2"/>
            <w:vAlign w:val="center"/>
          </w:tcPr>
          <w:p w14:paraId="3AE78C96">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90</w:t>
            </w:r>
          </w:p>
        </w:tc>
        <w:tc>
          <w:tcPr>
            <w:tcW w:w="1268" w:type="dxa"/>
            <w:gridSpan w:val="2"/>
            <w:vAlign w:val="center"/>
          </w:tcPr>
          <w:p w14:paraId="4AF449A2">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150</w:t>
            </w:r>
          </w:p>
        </w:tc>
        <w:tc>
          <w:tcPr>
            <w:tcW w:w="1209" w:type="dxa"/>
            <w:vMerge w:val="continue"/>
            <w:vAlign w:val="center"/>
          </w:tcPr>
          <w:p w14:paraId="099E5672">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p>
        </w:tc>
      </w:tr>
      <w:tr w14:paraId="5932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79" w:type="dxa"/>
            <w:vMerge w:val="continue"/>
            <w:vAlign w:val="center"/>
          </w:tcPr>
          <w:p w14:paraId="2FA4DDE8">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425" w:type="dxa"/>
            <w:vAlign w:val="center"/>
          </w:tcPr>
          <w:p w14:paraId="2337DDAA">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第三方</w:t>
            </w:r>
            <w:r>
              <w:rPr>
                <w:rFonts w:hint="eastAsia"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损失</w:t>
            </w:r>
          </w:p>
        </w:tc>
        <w:tc>
          <w:tcPr>
            <w:tcW w:w="1232" w:type="dxa"/>
            <w:gridSpan w:val="2"/>
            <w:vAlign w:val="center"/>
          </w:tcPr>
          <w:p w14:paraId="6810ABD0">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网络安全责任</w:t>
            </w:r>
          </w:p>
        </w:tc>
        <w:tc>
          <w:tcPr>
            <w:tcW w:w="1210" w:type="dxa"/>
            <w:gridSpan w:val="2"/>
            <w:vAlign w:val="center"/>
          </w:tcPr>
          <w:p w14:paraId="063CC3EC">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25</w:t>
            </w:r>
          </w:p>
        </w:tc>
        <w:tc>
          <w:tcPr>
            <w:tcW w:w="1278" w:type="dxa"/>
            <w:gridSpan w:val="2"/>
            <w:vAlign w:val="center"/>
          </w:tcPr>
          <w:p w14:paraId="60B907E3">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50</w:t>
            </w:r>
          </w:p>
        </w:tc>
        <w:tc>
          <w:tcPr>
            <w:tcW w:w="1241" w:type="dxa"/>
            <w:gridSpan w:val="2"/>
            <w:vAlign w:val="center"/>
          </w:tcPr>
          <w:p w14:paraId="00EAA6FF">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80</w:t>
            </w:r>
          </w:p>
        </w:tc>
        <w:tc>
          <w:tcPr>
            <w:tcW w:w="1268" w:type="dxa"/>
            <w:gridSpan w:val="2"/>
            <w:vAlign w:val="center"/>
          </w:tcPr>
          <w:p w14:paraId="528F8369">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100</w:t>
            </w:r>
          </w:p>
        </w:tc>
        <w:tc>
          <w:tcPr>
            <w:tcW w:w="1209" w:type="dxa"/>
            <w:vMerge w:val="continue"/>
            <w:vAlign w:val="center"/>
          </w:tcPr>
          <w:p w14:paraId="31640CBF">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p>
        </w:tc>
      </w:tr>
      <w:tr w14:paraId="3DF1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79" w:type="dxa"/>
            <w:vMerge w:val="continue"/>
            <w:vAlign w:val="center"/>
          </w:tcPr>
          <w:p w14:paraId="35E8E7EC">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425" w:type="dxa"/>
            <w:vAlign w:val="center"/>
          </w:tcPr>
          <w:p w14:paraId="49ABF55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第三方</w:t>
            </w:r>
            <w:r>
              <w:rPr>
                <w:rFonts w:hint="eastAsia"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损失</w:t>
            </w:r>
          </w:p>
        </w:tc>
        <w:tc>
          <w:tcPr>
            <w:tcW w:w="1232" w:type="dxa"/>
            <w:gridSpan w:val="2"/>
            <w:vAlign w:val="center"/>
          </w:tcPr>
          <w:p w14:paraId="5034E08C">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保密责任</w:t>
            </w:r>
          </w:p>
        </w:tc>
        <w:tc>
          <w:tcPr>
            <w:tcW w:w="1210" w:type="dxa"/>
            <w:gridSpan w:val="2"/>
            <w:vAlign w:val="center"/>
          </w:tcPr>
          <w:p w14:paraId="4A8F1F98">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20</w:t>
            </w:r>
          </w:p>
        </w:tc>
        <w:tc>
          <w:tcPr>
            <w:tcW w:w="1278" w:type="dxa"/>
            <w:gridSpan w:val="2"/>
            <w:vAlign w:val="center"/>
          </w:tcPr>
          <w:p w14:paraId="252551A9">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20</w:t>
            </w:r>
          </w:p>
        </w:tc>
        <w:tc>
          <w:tcPr>
            <w:tcW w:w="1241" w:type="dxa"/>
            <w:gridSpan w:val="2"/>
            <w:vAlign w:val="center"/>
          </w:tcPr>
          <w:p w14:paraId="3B95652A">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30</w:t>
            </w:r>
          </w:p>
        </w:tc>
        <w:tc>
          <w:tcPr>
            <w:tcW w:w="1268" w:type="dxa"/>
            <w:gridSpan w:val="2"/>
            <w:vAlign w:val="center"/>
          </w:tcPr>
          <w:p w14:paraId="4E088648">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70</w:t>
            </w:r>
          </w:p>
        </w:tc>
        <w:tc>
          <w:tcPr>
            <w:tcW w:w="1209" w:type="dxa"/>
            <w:vMerge w:val="continue"/>
            <w:vAlign w:val="center"/>
          </w:tcPr>
          <w:p w14:paraId="252BFB7E">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p>
        </w:tc>
      </w:tr>
      <w:tr w14:paraId="1A2E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79" w:type="dxa"/>
            <w:vMerge w:val="continue"/>
            <w:vAlign w:val="center"/>
          </w:tcPr>
          <w:p w14:paraId="1479FFA7">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425" w:type="dxa"/>
            <w:vAlign w:val="center"/>
          </w:tcPr>
          <w:p w14:paraId="7E977EC4">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其他费用</w:t>
            </w:r>
          </w:p>
        </w:tc>
        <w:tc>
          <w:tcPr>
            <w:tcW w:w="1232" w:type="dxa"/>
            <w:gridSpan w:val="2"/>
            <w:vAlign w:val="center"/>
          </w:tcPr>
          <w:p w14:paraId="5A694699">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数据修复费用</w:t>
            </w:r>
          </w:p>
        </w:tc>
        <w:tc>
          <w:tcPr>
            <w:tcW w:w="1210" w:type="dxa"/>
            <w:gridSpan w:val="2"/>
            <w:vAlign w:val="center"/>
          </w:tcPr>
          <w:p w14:paraId="1CCDFEC0">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5</w:t>
            </w:r>
          </w:p>
        </w:tc>
        <w:tc>
          <w:tcPr>
            <w:tcW w:w="1278" w:type="dxa"/>
            <w:gridSpan w:val="2"/>
            <w:vAlign w:val="center"/>
          </w:tcPr>
          <w:p w14:paraId="3557897D">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20</w:t>
            </w:r>
          </w:p>
        </w:tc>
        <w:tc>
          <w:tcPr>
            <w:tcW w:w="1241" w:type="dxa"/>
            <w:gridSpan w:val="2"/>
            <w:vAlign w:val="center"/>
          </w:tcPr>
          <w:p w14:paraId="476E1D54">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30</w:t>
            </w:r>
          </w:p>
        </w:tc>
        <w:tc>
          <w:tcPr>
            <w:tcW w:w="1268" w:type="dxa"/>
            <w:gridSpan w:val="2"/>
            <w:vAlign w:val="center"/>
          </w:tcPr>
          <w:p w14:paraId="6EE4EE27">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60</w:t>
            </w:r>
          </w:p>
        </w:tc>
        <w:tc>
          <w:tcPr>
            <w:tcW w:w="1209" w:type="dxa"/>
            <w:vMerge w:val="continue"/>
            <w:vAlign w:val="center"/>
          </w:tcPr>
          <w:p w14:paraId="1AE283FB">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p>
        </w:tc>
      </w:tr>
      <w:tr w14:paraId="5BBA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79" w:type="dxa"/>
            <w:vMerge w:val="continue"/>
            <w:vAlign w:val="center"/>
          </w:tcPr>
          <w:p w14:paraId="052BA3F0">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425" w:type="dxa"/>
            <w:vAlign w:val="center"/>
          </w:tcPr>
          <w:p w14:paraId="6CDBD059">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其他费用</w:t>
            </w:r>
          </w:p>
        </w:tc>
        <w:tc>
          <w:tcPr>
            <w:tcW w:w="1232" w:type="dxa"/>
            <w:gridSpan w:val="2"/>
            <w:vAlign w:val="center"/>
          </w:tcPr>
          <w:p w14:paraId="4270264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硬件改善费用</w:t>
            </w:r>
          </w:p>
        </w:tc>
        <w:tc>
          <w:tcPr>
            <w:tcW w:w="1210" w:type="dxa"/>
            <w:gridSpan w:val="2"/>
            <w:vAlign w:val="center"/>
          </w:tcPr>
          <w:p w14:paraId="31D51495">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5</w:t>
            </w:r>
          </w:p>
        </w:tc>
        <w:tc>
          <w:tcPr>
            <w:tcW w:w="1278" w:type="dxa"/>
            <w:gridSpan w:val="2"/>
            <w:vAlign w:val="center"/>
          </w:tcPr>
          <w:p w14:paraId="584EF43C">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20</w:t>
            </w:r>
          </w:p>
        </w:tc>
        <w:tc>
          <w:tcPr>
            <w:tcW w:w="1241" w:type="dxa"/>
            <w:gridSpan w:val="2"/>
            <w:vAlign w:val="center"/>
          </w:tcPr>
          <w:p w14:paraId="1E3FEF9C">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30</w:t>
            </w:r>
          </w:p>
        </w:tc>
        <w:tc>
          <w:tcPr>
            <w:tcW w:w="1268" w:type="dxa"/>
            <w:gridSpan w:val="2"/>
            <w:vAlign w:val="center"/>
          </w:tcPr>
          <w:p w14:paraId="3BFEF850">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60</w:t>
            </w:r>
          </w:p>
        </w:tc>
        <w:tc>
          <w:tcPr>
            <w:tcW w:w="1209" w:type="dxa"/>
            <w:vMerge w:val="continue"/>
            <w:vAlign w:val="center"/>
          </w:tcPr>
          <w:p w14:paraId="5FA05386">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p>
        </w:tc>
      </w:tr>
      <w:tr w14:paraId="7AB7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79" w:type="dxa"/>
            <w:vMerge w:val="continue"/>
            <w:vAlign w:val="center"/>
          </w:tcPr>
          <w:p w14:paraId="444659FD">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425" w:type="dxa"/>
            <w:vAlign w:val="center"/>
          </w:tcPr>
          <w:p w14:paraId="44A95213">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其他费用</w:t>
            </w:r>
          </w:p>
        </w:tc>
        <w:tc>
          <w:tcPr>
            <w:tcW w:w="1232" w:type="dxa"/>
            <w:gridSpan w:val="2"/>
            <w:vAlign w:val="center"/>
          </w:tcPr>
          <w:p w14:paraId="31064464">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事故相应费用</w:t>
            </w:r>
          </w:p>
        </w:tc>
        <w:tc>
          <w:tcPr>
            <w:tcW w:w="1210" w:type="dxa"/>
            <w:gridSpan w:val="2"/>
            <w:vAlign w:val="center"/>
          </w:tcPr>
          <w:p w14:paraId="68F2A355">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15</w:t>
            </w:r>
          </w:p>
        </w:tc>
        <w:tc>
          <w:tcPr>
            <w:tcW w:w="1278" w:type="dxa"/>
            <w:gridSpan w:val="2"/>
            <w:vAlign w:val="center"/>
          </w:tcPr>
          <w:p w14:paraId="7C449E41">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30</w:t>
            </w:r>
          </w:p>
        </w:tc>
        <w:tc>
          <w:tcPr>
            <w:tcW w:w="1241" w:type="dxa"/>
            <w:gridSpan w:val="2"/>
            <w:vAlign w:val="center"/>
          </w:tcPr>
          <w:p w14:paraId="66DEA4F3">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rPr>
              <w:t>40</w:t>
            </w:r>
          </w:p>
        </w:tc>
        <w:tc>
          <w:tcPr>
            <w:tcW w:w="1268" w:type="dxa"/>
            <w:gridSpan w:val="2"/>
            <w:vAlign w:val="center"/>
          </w:tcPr>
          <w:p w14:paraId="670D955B">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60</w:t>
            </w:r>
          </w:p>
        </w:tc>
        <w:tc>
          <w:tcPr>
            <w:tcW w:w="1209" w:type="dxa"/>
            <w:vMerge w:val="continue"/>
            <w:vAlign w:val="center"/>
          </w:tcPr>
          <w:p w14:paraId="700E0DA3">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p>
        </w:tc>
      </w:tr>
      <w:tr w14:paraId="489A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79" w:type="dxa"/>
            <w:vMerge w:val="continue"/>
            <w:vAlign w:val="center"/>
          </w:tcPr>
          <w:p w14:paraId="41C7403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2657" w:type="dxa"/>
            <w:gridSpan w:val="3"/>
            <w:vAlign w:val="center"/>
          </w:tcPr>
          <w:p w14:paraId="211AB932">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累计赔偿限额</w:t>
            </w:r>
            <w:r>
              <w:rPr>
                <w:rFonts w:hint="eastAsia"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（万元）</w:t>
            </w:r>
          </w:p>
        </w:tc>
        <w:tc>
          <w:tcPr>
            <w:tcW w:w="1210" w:type="dxa"/>
            <w:gridSpan w:val="2"/>
            <w:vAlign w:val="center"/>
          </w:tcPr>
          <w:p w14:paraId="3EF3A3C6">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100</w:t>
            </w:r>
          </w:p>
        </w:tc>
        <w:tc>
          <w:tcPr>
            <w:tcW w:w="1278" w:type="dxa"/>
            <w:gridSpan w:val="2"/>
            <w:vAlign w:val="center"/>
          </w:tcPr>
          <w:p w14:paraId="51A2A2E8">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200</w:t>
            </w:r>
          </w:p>
        </w:tc>
        <w:tc>
          <w:tcPr>
            <w:tcW w:w="1241" w:type="dxa"/>
            <w:gridSpan w:val="2"/>
            <w:vAlign w:val="center"/>
          </w:tcPr>
          <w:p w14:paraId="47BE6900">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300</w:t>
            </w:r>
          </w:p>
        </w:tc>
        <w:tc>
          <w:tcPr>
            <w:tcW w:w="1268" w:type="dxa"/>
            <w:gridSpan w:val="2"/>
            <w:vAlign w:val="center"/>
          </w:tcPr>
          <w:p w14:paraId="69307D3C">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500</w:t>
            </w:r>
          </w:p>
        </w:tc>
        <w:tc>
          <w:tcPr>
            <w:tcW w:w="1209" w:type="dxa"/>
            <w:vMerge w:val="continue"/>
            <w:vAlign w:val="center"/>
          </w:tcPr>
          <w:p w14:paraId="5E32A385">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val="0"/>
                <w:bCs w:val="0"/>
                <w:color w:val="000000"/>
                <w:kern w:val="0"/>
                <w:sz w:val="28"/>
                <w:szCs w:val="28"/>
              </w:rPr>
            </w:pPr>
          </w:p>
        </w:tc>
      </w:tr>
      <w:tr w14:paraId="2FCA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579" w:type="dxa"/>
            <w:vMerge w:val="continue"/>
            <w:vAlign w:val="center"/>
          </w:tcPr>
          <w:p w14:paraId="0914A9FA">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2657" w:type="dxa"/>
            <w:gridSpan w:val="3"/>
            <w:vAlign w:val="center"/>
          </w:tcPr>
          <w:p w14:paraId="1437CB67">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保费合计（万元）</w:t>
            </w:r>
          </w:p>
        </w:tc>
        <w:tc>
          <w:tcPr>
            <w:tcW w:w="1210" w:type="dxa"/>
            <w:gridSpan w:val="2"/>
            <w:vAlign w:val="center"/>
          </w:tcPr>
          <w:p w14:paraId="7819494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1.8</w:t>
            </w:r>
          </w:p>
        </w:tc>
        <w:tc>
          <w:tcPr>
            <w:tcW w:w="1278" w:type="dxa"/>
            <w:gridSpan w:val="2"/>
            <w:vAlign w:val="center"/>
          </w:tcPr>
          <w:p w14:paraId="645CC538">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3.6</w:t>
            </w:r>
          </w:p>
        </w:tc>
        <w:tc>
          <w:tcPr>
            <w:tcW w:w="1241" w:type="dxa"/>
            <w:gridSpan w:val="2"/>
            <w:vAlign w:val="center"/>
          </w:tcPr>
          <w:p w14:paraId="2EEFD687">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5.4</w:t>
            </w:r>
          </w:p>
        </w:tc>
        <w:tc>
          <w:tcPr>
            <w:tcW w:w="1268" w:type="dxa"/>
            <w:gridSpan w:val="2"/>
            <w:vAlign w:val="center"/>
          </w:tcPr>
          <w:p w14:paraId="10458C70">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9</w:t>
            </w:r>
          </w:p>
        </w:tc>
        <w:tc>
          <w:tcPr>
            <w:tcW w:w="1209" w:type="dxa"/>
            <w:vMerge w:val="continue"/>
            <w:vAlign w:val="center"/>
          </w:tcPr>
          <w:p w14:paraId="1E88CCC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r>
      <w:tr w14:paraId="4402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5" w:hRule="atLeast"/>
          <w:jc w:val="center"/>
        </w:trPr>
        <w:tc>
          <w:tcPr>
            <w:tcW w:w="579" w:type="dxa"/>
            <w:vMerge w:val="continue"/>
            <w:vAlign w:val="center"/>
          </w:tcPr>
          <w:p w14:paraId="409D7591">
            <w:pPr>
              <w:keepNext w:val="0"/>
              <w:keepLines w:val="0"/>
              <w:pageBreakBefore w:val="0"/>
              <w:kinsoku/>
              <w:wordWrap/>
              <w:overflowPunct/>
              <w:topLinePunct w:val="0"/>
              <w:autoSpaceDE/>
              <w:autoSpaceDN/>
              <w:bidi w:val="0"/>
              <w:adjustRightInd/>
              <w:snapToGrid/>
              <w:spacing w:line="420" w:lineRule="exact"/>
              <w:rPr>
                <w:rFonts w:hint="default" w:ascii="Times New Roman" w:hAnsi="Times New Roman" w:eastAsia="仿宋_GB2312" w:cs="Times New Roman"/>
                <w:b w:val="0"/>
                <w:bCs w:val="0"/>
                <w:sz w:val="28"/>
                <w:szCs w:val="28"/>
              </w:rPr>
            </w:pPr>
          </w:p>
        </w:tc>
        <w:tc>
          <w:tcPr>
            <w:tcW w:w="8863" w:type="dxa"/>
            <w:gridSpan w:val="12"/>
            <w:vAlign w:val="center"/>
          </w:tcPr>
          <w:p w14:paraId="7E68AFA9">
            <w:pPr>
              <w:keepNext w:val="0"/>
              <w:keepLines w:val="0"/>
              <w:pageBreakBefore w:val="0"/>
              <w:kinsoku/>
              <w:wordWrap/>
              <w:overflowPunct/>
              <w:topLinePunct w:val="0"/>
              <w:autoSpaceDE/>
              <w:autoSpaceDN/>
              <w:bidi w:val="0"/>
              <w:adjustRightInd/>
              <w:snapToGrid/>
              <w:spacing w:line="420" w:lineRule="exact"/>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备注：</w:t>
            </w:r>
            <w:r>
              <w:rPr>
                <w:rFonts w:hint="default" w:ascii="Times New Roman" w:hAnsi="Times New Roman" w:eastAsia="仿宋_GB2312" w:cs="Times New Roman"/>
                <w:b w:val="0"/>
                <w:bCs w:val="0"/>
                <w:sz w:val="28"/>
                <w:szCs w:val="28"/>
              </w:rPr>
              <w:br w:type="textWrapping"/>
            </w:r>
            <w:r>
              <w:rPr>
                <w:rFonts w:hint="default" w:ascii="Times New Roman" w:hAnsi="Times New Roman" w:eastAsia="仿宋_GB2312" w:cs="Times New Roman"/>
                <w:b w:val="0"/>
                <w:bCs w:val="0"/>
                <w:sz w:val="28"/>
                <w:szCs w:val="28"/>
              </w:rPr>
              <w:t>1.企业投保前，保险公司会对企业进行风险评估，并出具风险评分报告。企业风险评分≥80分，可享受保费8折优惠；风险评分在60（含）至80（不含）分之间，可享受保费9折优惠；风险评分＜60分，则不享受折扣优惠。</w:t>
            </w:r>
          </w:p>
          <w:p w14:paraId="5C97EAD8">
            <w:pPr>
              <w:keepNext w:val="0"/>
              <w:keepLines w:val="0"/>
              <w:pageBreakBefore w:val="0"/>
              <w:kinsoku/>
              <w:wordWrap/>
              <w:overflowPunct/>
              <w:topLinePunct w:val="0"/>
              <w:autoSpaceDE/>
              <w:autoSpaceDN/>
              <w:bidi w:val="0"/>
              <w:adjustRightInd/>
              <w:snapToGrid/>
              <w:spacing w:line="420" w:lineRule="exact"/>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2.方案免赔：每次事故绝对免赔金额为2000元人民币或核定损失金额的10%，两者以高者为准。</w:t>
            </w:r>
          </w:p>
          <w:p w14:paraId="2D757819">
            <w:pPr>
              <w:keepNext w:val="0"/>
              <w:keepLines w:val="0"/>
              <w:pageBreakBefore w:val="0"/>
              <w:kinsoku/>
              <w:wordWrap/>
              <w:overflowPunct/>
              <w:topLinePunct w:val="0"/>
              <w:autoSpaceDE/>
              <w:autoSpaceDN/>
              <w:bidi w:val="0"/>
              <w:adjustRightInd/>
              <w:snapToGrid/>
              <w:spacing w:line="420" w:lineRule="exact"/>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3.所有方案的每次事故限额均为累计限额的50%;数据修复每天限额5000元人民币。</w:t>
            </w:r>
          </w:p>
          <w:p w14:paraId="7628C6AF">
            <w:pPr>
              <w:keepNext w:val="0"/>
              <w:keepLines w:val="0"/>
              <w:pageBreakBefore w:val="0"/>
              <w:kinsoku/>
              <w:wordWrap/>
              <w:overflowPunct/>
              <w:topLinePunct w:val="0"/>
              <w:autoSpaceDE/>
              <w:autoSpaceDN/>
              <w:bidi w:val="0"/>
              <w:adjustRightInd/>
              <w:snapToGrid/>
              <w:spacing w:line="420" w:lineRule="exact"/>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4.方案五定制化方案，企业可根据需求额外选购营业中断损失、网络欺诈损失及社会工程学犯罪损失等保险责任。</w:t>
            </w:r>
          </w:p>
        </w:tc>
      </w:tr>
      <w:tr w14:paraId="7BD6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9" w:type="dxa"/>
            <w:vMerge w:val="restart"/>
            <w:vAlign w:val="center"/>
          </w:tcPr>
          <w:p w14:paraId="37839724">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服务项目</w:t>
            </w:r>
          </w:p>
        </w:tc>
        <w:tc>
          <w:tcPr>
            <w:tcW w:w="1527" w:type="dxa"/>
            <w:gridSpan w:val="2"/>
            <w:vAlign w:val="center"/>
          </w:tcPr>
          <w:p w14:paraId="116DA08E">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服务类别</w:t>
            </w:r>
          </w:p>
        </w:tc>
        <w:tc>
          <w:tcPr>
            <w:tcW w:w="1410" w:type="dxa"/>
            <w:gridSpan w:val="2"/>
            <w:vAlign w:val="center"/>
          </w:tcPr>
          <w:p w14:paraId="62B8549F">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方案一</w:t>
            </w:r>
          </w:p>
        </w:tc>
        <w:tc>
          <w:tcPr>
            <w:tcW w:w="1380" w:type="dxa"/>
            <w:gridSpan w:val="2"/>
            <w:vAlign w:val="center"/>
          </w:tcPr>
          <w:p w14:paraId="40ACB8EF">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方案二</w:t>
            </w:r>
          </w:p>
        </w:tc>
        <w:tc>
          <w:tcPr>
            <w:tcW w:w="1425" w:type="dxa"/>
            <w:gridSpan w:val="2"/>
            <w:vAlign w:val="center"/>
          </w:tcPr>
          <w:p w14:paraId="4D971BBE">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方案三</w:t>
            </w:r>
          </w:p>
        </w:tc>
        <w:tc>
          <w:tcPr>
            <w:tcW w:w="1380" w:type="dxa"/>
            <w:gridSpan w:val="2"/>
            <w:vAlign w:val="center"/>
          </w:tcPr>
          <w:p w14:paraId="7C4A7417">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方案四</w:t>
            </w:r>
          </w:p>
        </w:tc>
        <w:tc>
          <w:tcPr>
            <w:tcW w:w="1741" w:type="dxa"/>
            <w:gridSpan w:val="2"/>
            <w:vAlign w:val="center"/>
          </w:tcPr>
          <w:p w14:paraId="6EC7A75D">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方案五</w:t>
            </w:r>
          </w:p>
        </w:tc>
      </w:tr>
      <w:tr w14:paraId="54B0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9" w:type="dxa"/>
            <w:vMerge w:val="continue"/>
            <w:vAlign w:val="center"/>
          </w:tcPr>
          <w:p w14:paraId="03981BA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527" w:type="dxa"/>
            <w:gridSpan w:val="2"/>
            <w:vAlign w:val="center"/>
          </w:tcPr>
          <w:p w14:paraId="45F966FE">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风险评估</w:t>
            </w:r>
          </w:p>
        </w:tc>
        <w:tc>
          <w:tcPr>
            <w:tcW w:w="1410" w:type="dxa"/>
            <w:gridSpan w:val="2"/>
            <w:vAlign w:val="center"/>
          </w:tcPr>
          <w:p w14:paraId="4E8172A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1次</w:t>
            </w:r>
          </w:p>
        </w:tc>
        <w:tc>
          <w:tcPr>
            <w:tcW w:w="1380" w:type="dxa"/>
            <w:gridSpan w:val="2"/>
            <w:vAlign w:val="center"/>
          </w:tcPr>
          <w:p w14:paraId="49CF2042">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1次</w:t>
            </w:r>
          </w:p>
        </w:tc>
        <w:tc>
          <w:tcPr>
            <w:tcW w:w="1425" w:type="dxa"/>
            <w:gridSpan w:val="2"/>
            <w:vAlign w:val="center"/>
          </w:tcPr>
          <w:p w14:paraId="18B8160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1次</w:t>
            </w:r>
          </w:p>
        </w:tc>
        <w:tc>
          <w:tcPr>
            <w:tcW w:w="1380" w:type="dxa"/>
            <w:gridSpan w:val="2"/>
            <w:vAlign w:val="center"/>
          </w:tcPr>
          <w:p w14:paraId="6ADEE0B1">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1次</w:t>
            </w:r>
          </w:p>
        </w:tc>
        <w:tc>
          <w:tcPr>
            <w:tcW w:w="1741" w:type="dxa"/>
            <w:gridSpan w:val="2"/>
            <w:vMerge w:val="restart"/>
            <w:vAlign w:val="center"/>
          </w:tcPr>
          <w:p w14:paraId="09CB6C5D">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视保险方案及客户需求定制服务</w:t>
            </w:r>
          </w:p>
        </w:tc>
      </w:tr>
      <w:tr w14:paraId="0ADF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9" w:type="dxa"/>
            <w:vMerge w:val="continue"/>
            <w:vAlign w:val="center"/>
          </w:tcPr>
          <w:p w14:paraId="2FA2B262">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527" w:type="dxa"/>
            <w:gridSpan w:val="2"/>
            <w:vAlign w:val="center"/>
          </w:tcPr>
          <w:p w14:paraId="7773FB4C">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安全巡检</w:t>
            </w:r>
          </w:p>
        </w:tc>
        <w:tc>
          <w:tcPr>
            <w:tcW w:w="1410" w:type="dxa"/>
            <w:gridSpan w:val="2"/>
            <w:vAlign w:val="center"/>
          </w:tcPr>
          <w:p w14:paraId="66A8EA67">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380" w:type="dxa"/>
            <w:gridSpan w:val="2"/>
            <w:vAlign w:val="center"/>
          </w:tcPr>
          <w:p w14:paraId="30E82F20">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425" w:type="dxa"/>
            <w:gridSpan w:val="2"/>
            <w:vAlign w:val="center"/>
          </w:tcPr>
          <w:p w14:paraId="0DA4FE40">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380" w:type="dxa"/>
            <w:gridSpan w:val="2"/>
            <w:vAlign w:val="center"/>
          </w:tcPr>
          <w:p w14:paraId="1505B73B">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741" w:type="dxa"/>
            <w:gridSpan w:val="2"/>
            <w:vMerge w:val="continue"/>
            <w:vAlign w:val="center"/>
          </w:tcPr>
          <w:p w14:paraId="0C456350">
            <w:pPr>
              <w:keepNext w:val="0"/>
              <w:keepLines w:val="0"/>
              <w:pageBreakBefore w:val="0"/>
              <w:kinsoku/>
              <w:wordWrap/>
              <w:overflowPunct/>
              <w:topLinePunct w:val="0"/>
              <w:autoSpaceDE/>
              <w:autoSpaceDN/>
              <w:bidi w:val="0"/>
              <w:adjustRightInd/>
              <w:snapToGrid/>
              <w:spacing w:line="420" w:lineRule="exact"/>
              <w:ind w:firstLine="560" w:firstLineChars="200"/>
              <w:jc w:val="center"/>
              <w:rPr>
                <w:rFonts w:hint="default" w:ascii="Times New Roman" w:hAnsi="Times New Roman" w:eastAsia="仿宋_GB2312" w:cs="Times New Roman"/>
                <w:b w:val="0"/>
                <w:bCs w:val="0"/>
                <w:sz w:val="28"/>
                <w:szCs w:val="28"/>
              </w:rPr>
            </w:pPr>
          </w:p>
        </w:tc>
      </w:tr>
      <w:tr w14:paraId="1287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9" w:type="dxa"/>
            <w:vMerge w:val="continue"/>
            <w:vAlign w:val="center"/>
          </w:tcPr>
          <w:p w14:paraId="0AEB66C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527" w:type="dxa"/>
            <w:gridSpan w:val="2"/>
            <w:vAlign w:val="center"/>
          </w:tcPr>
          <w:p w14:paraId="38F775A5">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安全加固</w:t>
            </w:r>
          </w:p>
        </w:tc>
        <w:tc>
          <w:tcPr>
            <w:tcW w:w="1410" w:type="dxa"/>
            <w:gridSpan w:val="2"/>
            <w:vAlign w:val="center"/>
          </w:tcPr>
          <w:p w14:paraId="7E786D79">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380" w:type="dxa"/>
            <w:gridSpan w:val="2"/>
            <w:vAlign w:val="center"/>
          </w:tcPr>
          <w:p w14:paraId="41BE960C">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425" w:type="dxa"/>
            <w:gridSpan w:val="2"/>
            <w:vAlign w:val="center"/>
          </w:tcPr>
          <w:p w14:paraId="3BA766FF">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380" w:type="dxa"/>
            <w:gridSpan w:val="2"/>
            <w:vAlign w:val="center"/>
          </w:tcPr>
          <w:p w14:paraId="6093280A">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741" w:type="dxa"/>
            <w:gridSpan w:val="2"/>
            <w:vMerge w:val="continue"/>
            <w:vAlign w:val="center"/>
          </w:tcPr>
          <w:p w14:paraId="14D8E003">
            <w:pPr>
              <w:keepNext w:val="0"/>
              <w:keepLines w:val="0"/>
              <w:pageBreakBefore w:val="0"/>
              <w:kinsoku/>
              <w:wordWrap/>
              <w:overflowPunct/>
              <w:topLinePunct w:val="0"/>
              <w:autoSpaceDE/>
              <w:autoSpaceDN/>
              <w:bidi w:val="0"/>
              <w:adjustRightInd/>
              <w:snapToGrid/>
              <w:spacing w:line="420" w:lineRule="exact"/>
              <w:ind w:firstLine="560" w:firstLineChars="200"/>
              <w:jc w:val="center"/>
              <w:rPr>
                <w:rFonts w:hint="default" w:ascii="Times New Roman" w:hAnsi="Times New Roman" w:eastAsia="仿宋_GB2312" w:cs="Times New Roman"/>
                <w:b w:val="0"/>
                <w:bCs w:val="0"/>
                <w:sz w:val="28"/>
                <w:szCs w:val="28"/>
              </w:rPr>
            </w:pPr>
          </w:p>
        </w:tc>
      </w:tr>
      <w:tr w14:paraId="026B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9" w:type="dxa"/>
            <w:vMerge w:val="continue"/>
            <w:vAlign w:val="center"/>
          </w:tcPr>
          <w:p w14:paraId="49DB9241">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527" w:type="dxa"/>
            <w:gridSpan w:val="2"/>
            <w:vAlign w:val="center"/>
          </w:tcPr>
          <w:p w14:paraId="05772EE9">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应急响应</w:t>
            </w:r>
          </w:p>
        </w:tc>
        <w:tc>
          <w:tcPr>
            <w:tcW w:w="1410" w:type="dxa"/>
            <w:gridSpan w:val="2"/>
            <w:vAlign w:val="center"/>
          </w:tcPr>
          <w:p w14:paraId="050927D3">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按需</w:t>
            </w:r>
          </w:p>
        </w:tc>
        <w:tc>
          <w:tcPr>
            <w:tcW w:w="1380" w:type="dxa"/>
            <w:gridSpan w:val="2"/>
            <w:vAlign w:val="center"/>
          </w:tcPr>
          <w:p w14:paraId="6BC00EFD">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按需</w:t>
            </w:r>
          </w:p>
        </w:tc>
        <w:tc>
          <w:tcPr>
            <w:tcW w:w="1425" w:type="dxa"/>
            <w:gridSpan w:val="2"/>
            <w:vAlign w:val="center"/>
          </w:tcPr>
          <w:p w14:paraId="4B37A07F">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按需</w:t>
            </w:r>
          </w:p>
        </w:tc>
        <w:tc>
          <w:tcPr>
            <w:tcW w:w="1380" w:type="dxa"/>
            <w:gridSpan w:val="2"/>
            <w:vAlign w:val="center"/>
          </w:tcPr>
          <w:p w14:paraId="274F0164">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按需</w:t>
            </w:r>
          </w:p>
        </w:tc>
        <w:tc>
          <w:tcPr>
            <w:tcW w:w="1741" w:type="dxa"/>
            <w:gridSpan w:val="2"/>
            <w:vMerge w:val="continue"/>
            <w:vAlign w:val="center"/>
          </w:tcPr>
          <w:p w14:paraId="76215B52">
            <w:pPr>
              <w:keepNext w:val="0"/>
              <w:keepLines w:val="0"/>
              <w:pageBreakBefore w:val="0"/>
              <w:kinsoku/>
              <w:wordWrap/>
              <w:overflowPunct/>
              <w:topLinePunct w:val="0"/>
              <w:autoSpaceDE/>
              <w:autoSpaceDN/>
              <w:bidi w:val="0"/>
              <w:adjustRightInd/>
              <w:snapToGrid/>
              <w:spacing w:line="420" w:lineRule="exact"/>
              <w:ind w:firstLine="560" w:firstLineChars="200"/>
              <w:jc w:val="center"/>
              <w:rPr>
                <w:rFonts w:hint="default" w:ascii="Times New Roman" w:hAnsi="Times New Roman" w:eastAsia="仿宋_GB2312" w:cs="Times New Roman"/>
                <w:b w:val="0"/>
                <w:bCs w:val="0"/>
                <w:sz w:val="28"/>
                <w:szCs w:val="28"/>
              </w:rPr>
            </w:pPr>
          </w:p>
        </w:tc>
      </w:tr>
      <w:tr w14:paraId="6429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9" w:type="dxa"/>
            <w:vMerge w:val="continue"/>
            <w:vAlign w:val="center"/>
          </w:tcPr>
          <w:p w14:paraId="4112C6F3">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527" w:type="dxa"/>
            <w:gridSpan w:val="2"/>
            <w:vAlign w:val="center"/>
          </w:tcPr>
          <w:p w14:paraId="5D5B8D8F">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安全培训</w:t>
            </w:r>
          </w:p>
        </w:tc>
        <w:tc>
          <w:tcPr>
            <w:tcW w:w="1410" w:type="dxa"/>
            <w:gridSpan w:val="2"/>
            <w:vAlign w:val="center"/>
          </w:tcPr>
          <w:p w14:paraId="12370ACF">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1次</w:t>
            </w:r>
          </w:p>
        </w:tc>
        <w:tc>
          <w:tcPr>
            <w:tcW w:w="1380" w:type="dxa"/>
            <w:gridSpan w:val="2"/>
            <w:vAlign w:val="center"/>
          </w:tcPr>
          <w:p w14:paraId="6769650E">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2次</w:t>
            </w:r>
          </w:p>
        </w:tc>
        <w:tc>
          <w:tcPr>
            <w:tcW w:w="1425" w:type="dxa"/>
            <w:gridSpan w:val="2"/>
            <w:vAlign w:val="center"/>
          </w:tcPr>
          <w:p w14:paraId="1163C006">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3次</w:t>
            </w:r>
          </w:p>
        </w:tc>
        <w:tc>
          <w:tcPr>
            <w:tcW w:w="1380" w:type="dxa"/>
            <w:gridSpan w:val="2"/>
            <w:vAlign w:val="center"/>
          </w:tcPr>
          <w:p w14:paraId="0845378F">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741" w:type="dxa"/>
            <w:gridSpan w:val="2"/>
            <w:vMerge w:val="continue"/>
            <w:vAlign w:val="center"/>
          </w:tcPr>
          <w:p w14:paraId="03100C45">
            <w:pPr>
              <w:keepNext w:val="0"/>
              <w:keepLines w:val="0"/>
              <w:pageBreakBefore w:val="0"/>
              <w:kinsoku/>
              <w:wordWrap/>
              <w:overflowPunct/>
              <w:topLinePunct w:val="0"/>
              <w:autoSpaceDE/>
              <w:autoSpaceDN/>
              <w:bidi w:val="0"/>
              <w:adjustRightInd/>
              <w:snapToGrid/>
              <w:spacing w:line="420" w:lineRule="exact"/>
              <w:ind w:firstLine="560" w:firstLineChars="200"/>
              <w:jc w:val="center"/>
              <w:rPr>
                <w:rFonts w:hint="default" w:ascii="Times New Roman" w:hAnsi="Times New Roman" w:eastAsia="仿宋_GB2312" w:cs="Times New Roman"/>
                <w:b w:val="0"/>
                <w:bCs w:val="0"/>
                <w:sz w:val="28"/>
                <w:szCs w:val="28"/>
              </w:rPr>
            </w:pPr>
          </w:p>
        </w:tc>
      </w:tr>
      <w:tr w14:paraId="44AD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9" w:type="dxa"/>
            <w:vMerge w:val="continue"/>
            <w:vAlign w:val="center"/>
          </w:tcPr>
          <w:p w14:paraId="6FC355D7">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527" w:type="dxa"/>
            <w:gridSpan w:val="2"/>
            <w:vAlign w:val="center"/>
          </w:tcPr>
          <w:p w14:paraId="5AA87DFA">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安全咨询</w:t>
            </w:r>
          </w:p>
        </w:tc>
        <w:tc>
          <w:tcPr>
            <w:tcW w:w="1410" w:type="dxa"/>
            <w:gridSpan w:val="2"/>
            <w:vAlign w:val="center"/>
          </w:tcPr>
          <w:p w14:paraId="5D8B1D0D">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按需</w:t>
            </w:r>
          </w:p>
        </w:tc>
        <w:tc>
          <w:tcPr>
            <w:tcW w:w="1380" w:type="dxa"/>
            <w:gridSpan w:val="2"/>
            <w:vAlign w:val="center"/>
          </w:tcPr>
          <w:p w14:paraId="7C097043">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按需</w:t>
            </w:r>
          </w:p>
        </w:tc>
        <w:tc>
          <w:tcPr>
            <w:tcW w:w="1425" w:type="dxa"/>
            <w:gridSpan w:val="2"/>
            <w:vAlign w:val="center"/>
          </w:tcPr>
          <w:p w14:paraId="05A482EE">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按需</w:t>
            </w:r>
          </w:p>
        </w:tc>
        <w:tc>
          <w:tcPr>
            <w:tcW w:w="1380" w:type="dxa"/>
            <w:gridSpan w:val="2"/>
            <w:vAlign w:val="center"/>
          </w:tcPr>
          <w:p w14:paraId="491D119D">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按需</w:t>
            </w:r>
          </w:p>
        </w:tc>
        <w:tc>
          <w:tcPr>
            <w:tcW w:w="1741" w:type="dxa"/>
            <w:gridSpan w:val="2"/>
            <w:vMerge w:val="continue"/>
            <w:vAlign w:val="center"/>
          </w:tcPr>
          <w:p w14:paraId="11B6CD6D">
            <w:pPr>
              <w:keepNext w:val="0"/>
              <w:keepLines w:val="0"/>
              <w:pageBreakBefore w:val="0"/>
              <w:kinsoku/>
              <w:wordWrap/>
              <w:overflowPunct/>
              <w:topLinePunct w:val="0"/>
              <w:autoSpaceDE/>
              <w:autoSpaceDN/>
              <w:bidi w:val="0"/>
              <w:adjustRightInd/>
              <w:snapToGrid/>
              <w:spacing w:line="420" w:lineRule="exact"/>
              <w:ind w:firstLine="560" w:firstLineChars="200"/>
              <w:jc w:val="center"/>
              <w:rPr>
                <w:rFonts w:hint="default" w:ascii="Times New Roman" w:hAnsi="Times New Roman" w:eastAsia="仿宋_GB2312" w:cs="Times New Roman"/>
                <w:b w:val="0"/>
                <w:bCs w:val="0"/>
                <w:sz w:val="28"/>
                <w:szCs w:val="28"/>
              </w:rPr>
            </w:pPr>
          </w:p>
        </w:tc>
      </w:tr>
      <w:tr w14:paraId="1488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9" w:type="dxa"/>
            <w:vMerge w:val="continue"/>
            <w:vAlign w:val="center"/>
          </w:tcPr>
          <w:p w14:paraId="7B55F851">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527" w:type="dxa"/>
            <w:gridSpan w:val="2"/>
            <w:vAlign w:val="center"/>
          </w:tcPr>
          <w:p w14:paraId="2CABB239">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渗透测试</w:t>
            </w:r>
          </w:p>
        </w:tc>
        <w:tc>
          <w:tcPr>
            <w:tcW w:w="1410" w:type="dxa"/>
            <w:gridSpan w:val="2"/>
            <w:vAlign w:val="center"/>
          </w:tcPr>
          <w:p w14:paraId="78C29965">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1次</w:t>
            </w:r>
          </w:p>
        </w:tc>
        <w:tc>
          <w:tcPr>
            <w:tcW w:w="1380" w:type="dxa"/>
            <w:gridSpan w:val="2"/>
            <w:vAlign w:val="center"/>
          </w:tcPr>
          <w:p w14:paraId="3D9B492E">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2次</w:t>
            </w:r>
          </w:p>
        </w:tc>
        <w:tc>
          <w:tcPr>
            <w:tcW w:w="1425" w:type="dxa"/>
            <w:gridSpan w:val="2"/>
            <w:vAlign w:val="center"/>
          </w:tcPr>
          <w:p w14:paraId="25D8561A">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3次</w:t>
            </w:r>
          </w:p>
        </w:tc>
        <w:tc>
          <w:tcPr>
            <w:tcW w:w="1380" w:type="dxa"/>
            <w:gridSpan w:val="2"/>
            <w:vAlign w:val="center"/>
          </w:tcPr>
          <w:p w14:paraId="66DE7F8E">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741" w:type="dxa"/>
            <w:gridSpan w:val="2"/>
            <w:vMerge w:val="continue"/>
            <w:vAlign w:val="center"/>
          </w:tcPr>
          <w:p w14:paraId="127AE0F7">
            <w:pPr>
              <w:keepNext w:val="0"/>
              <w:keepLines w:val="0"/>
              <w:pageBreakBefore w:val="0"/>
              <w:kinsoku/>
              <w:wordWrap/>
              <w:overflowPunct/>
              <w:topLinePunct w:val="0"/>
              <w:autoSpaceDE/>
              <w:autoSpaceDN/>
              <w:bidi w:val="0"/>
              <w:adjustRightInd/>
              <w:snapToGrid/>
              <w:spacing w:line="420" w:lineRule="exact"/>
              <w:ind w:firstLine="560" w:firstLineChars="200"/>
              <w:jc w:val="center"/>
              <w:rPr>
                <w:rFonts w:hint="default" w:ascii="Times New Roman" w:hAnsi="Times New Roman" w:eastAsia="仿宋_GB2312" w:cs="Times New Roman"/>
                <w:b w:val="0"/>
                <w:bCs w:val="0"/>
                <w:sz w:val="28"/>
                <w:szCs w:val="28"/>
              </w:rPr>
            </w:pPr>
          </w:p>
        </w:tc>
      </w:tr>
      <w:tr w14:paraId="27C7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9" w:type="dxa"/>
            <w:vMerge w:val="continue"/>
            <w:vAlign w:val="center"/>
          </w:tcPr>
          <w:p w14:paraId="0C565828">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p>
        </w:tc>
        <w:tc>
          <w:tcPr>
            <w:tcW w:w="1527" w:type="dxa"/>
            <w:gridSpan w:val="2"/>
            <w:vAlign w:val="center"/>
          </w:tcPr>
          <w:p w14:paraId="7C488FF0">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病毒木马</w:t>
            </w:r>
          </w:p>
          <w:p w14:paraId="609E6768">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专项检查</w:t>
            </w:r>
          </w:p>
        </w:tc>
        <w:tc>
          <w:tcPr>
            <w:tcW w:w="1410" w:type="dxa"/>
            <w:gridSpan w:val="2"/>
            <w:vAlign w:val="center"/>
          </w:tcPr>
          <w:p w14:paraId="43B4B2F1">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1次</w:t>
            </w:r>
          </w:p>
        </w:tc>
        <w:tc>
          <w:tcPr>
            <w:tcW w:w="1380" w:type="dxa"/>
            <w:gridSpan w:val="2"/>
            <w:vAlign w:val="center"/>
          </w:tcPr>
          <w:p w14:paraId="2857A853">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2次</w:t>
            </w:r>
          </w:p>
        </w:tc>
        <w:tc>
          <w:tcPr>
            <w:tcW w:w="1425" w:type="dxa"/>
            <w:gridSpan w:val="2"/>
            <w:vAlign w:val="center"/>
          </w:tcPr>
          <w:p w14:paraId="001E9D1E">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3次</w:t>
            </w:r>
          </w:p>
        </w:tc>
        <w:tc>
          <w:tcPr>
            <w:tcW w:w="1380" w:type="dxa"/>
            <w:gridSpan w:val="2"/>
            <w:vAlign w:val="center"/>
          </w:tcPr>
          <w:p w14:paraId="7BFAE7B8">
            <w:pPr>
              <w:keepNext w:val="0"/>
              <w:keepLines w:val="0"/>
              <w:pageBreakBefore w:val="0"/>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4次</w:t>
            </w:r>
          </w:p>
        </w:tc>
        <w:tc>
          <w:tcPr>
            <w:tcW w:w="1741" w:type="dxa"/>
            <w:gridSpan w:val="2"/>
            <w:vMerge w:val="continue"/>
            <w:vAlign w:val="center"/>
          </w:tcPr>
          <w:p w14:paraId="425F20E0">
            <w:pPr>
              <w:keepNext w:val="0"/>
              <w:keepLines w:val="0"/>
              <w:pageBreakBefore w:val="0"/>
              <w:kinsoku/>
              <w:wordWrap/>
              <w:overflowPunct/>
              <w:topLinePunct w:val="0"/>
              <w:autoSpaceDE/>
              <w:autoSpaceDN/>
              <w:bidi w:val="0"/>
              <w:adjustRightInd/>
              <w:snapToGrid/>
              <w:spacing w:line="420" w:lineRule="exact"/>
              <w:ind w:firstLine="560" w:firstLineChars="200"/>
              <w:jc w:val="center"/>
              <w:rPr>
                <w:rFonts w:hint="default" w:ascii="Times New Roman" w:hAnsi="Times New Roman" w:eastAsia="仿宋_GB2312" w:cs="Times New Roman"/>
                <w:b w:val="0"/>
                <w:bCs w:val="0"/>
                <w:sz w:val="28"/>
                <w:szCs w:val="28"/>
              </w:rPr>
            </w:pPr>
          </w:p>
        </w:tc>
      </w:tr>
    </w:tbl>
    <w:p w14:paraId="666675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方正黑体_GBK" w:cs="Times New Roman"/>
          <w:b w:val="0"/>
          <w:bCs w:val="0"/>
          <w:sz w:val="32"/>
          <w:szCs w:val="32"/>
        </w:rPr>
        <w:t>二、适用企业</w:t>
      </w:r>
    </w:p>
    <w:p w14:paraId="1FACEA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1.曾参与2025年网络及数据安全服务的200家企业；</w:t>
      </w:r>
    </w:p>
    <w:p w14:paraId="133C40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2.国家专精特新“小巨人”企业；</w:t>
      </w:r>
    </w:p>
    <w:p w14:paraId="009C36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3.广东省</w:t>
      </w:r>
      <w:bookmarkStart w:id="0" w:name="_GoBack"/>
      <w:bookmarkEnd w:id="0"/>
      <w:r>
        <w:rPr>
          <w:rFonts w:hint="default" w:ascii="Times New Roman" w:hAnsi="Times New Roman" w:eastAsia="仿宋_GB2312" w:cs="Times New Roman"/>
          <w:sz w:val="32"/>
          <w:szCs w:val="32"/>
        </w:rPr>
        <w:t>专精特新中小企业；</w:t>
      </w:r>
    </w:p>
    <w:p w14:paraId="5FC7D4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4.国家级、省级、市级智能工厂（车间）项目企业；</w:t>
      </w:r>
    </w:p>
    <w:p w14:paraId="37F7D0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5.创新型中小企业；</w:t>
      </w:r>
    </w:p>
    <w:p w14:paraId="5D6A28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6.东莞市专精特新培育库企业、“小升规”企业、获得技术改造备案企业、数字化转型企业等。</w:t>
      </w:r>
    </w:p>
    <w:p w14:paraId="4EC5DF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方正黑体_GBK" w:cs="Times New Roman"/>
          <w:b w:val="0"/>
          <w:bCs w:val="0"/>
          <w:sz w:val="32"/>
          <w:szCs w:val="32"/>
        </w:rPr>
        <w:t>三、“保险+服务”方案说明</w:t>
      </w:r>
    </w:p>
    <w:p w14:paraId="217586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（一）人保网安险介绍</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xml:space="preserve">    在网络安全保险领域，人保财险践行“保险+风险减量服务+科技”的新型商业模式，推动网络安全保险产品创新供给，研发出网络安全综合保障保险，覆盖网络安全财产及责任风险保障。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xml:space="preserve">    风险减量方面，加强与科研院所、网络安全服务商合作，构建网络安全保险服务生态，为客户提供全流程网络安全风险解决方案；通过加强保险的前置化、专业化、实时性、动态性的风险减量服务，着力提升防范网络安全风险的综合能力，切实发挥保险业的经济减震器和社会稳定器功能。</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xml:space="preserve">    同时利用科技赋能，人保财险总部开发了万象云-科保风控平台，随时为企业进行线上网络安全风险评估，进一步降低企业潜在网络安全风险。</w:t>
      </w:r>
    </w:p>
    <w:p w14:paraId="002651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东莞人保财险在政府相关部门及总部指导下，构建“政策引导+保险保障+专业服务”的协同机制，为参保企业提供“保险+服务”模式，</w:t>
      </w:r>
      <w:r>
        <w:rPr>
          <w:rFonts w:hint="default" w:ascii="Times New Roman" w:hAnsi="Times New Roman" w:eastAsia="仿宋_GB2312" w:cs="Times New Roman"/>
          <w:b/>
          <w:bCs/>
          <w:sz w:val="32"/>
          <w:szCs w:val="32"/>
        </w:rPr>
        <w:t>于2026年4月成功入选工信部第二批网络安全保险试点方案。</w:t>
      </w:r>
    </w:p>
    <w:p w14:paraId="504AB1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（二）保险责任说明</w:t>
      </w:r>
    </w:p>
    <w:tbl>
      <w:tblPr>
        <w:tblStyle w:val="9"/>
        <w:tblW w:w="8340"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1425"/>
        <w:gridCol w:w="5430"/>
      </w:tblGrid>
      <w:tr w14:paraId="3C6F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485" w:type="dxa"/>
            <w:vAlign w:val="center"/>
          </w:tcPr>
          <w:p w14:paraId="358127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责任类别</w:t>
            </w:r>
          </w:p>
        </w:tc>
        <w:tc>
          <w:tcPr>
            <w:tcW w:w="1425" w:type="dxa"/>
            <w:vAlign w:val="center"/>
          </w:tcPr>
          <w:p w14:paraId="1E1E20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保险责任</w:t>
            </w:r>
          </w:p>
        </w:tc>
        <w:tc>
          <w:tcPr>
            <w:tcW w:w="5430" w:type="dxa"/>
            <w:vAlign w:val="center"/>
          </w:tcPr>
          <w:p w14:paraId="335BAD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责任内容</w:t>
            </w:r>
          </w:p>
        </w:tc>
      </w:tr>
      <w:tr w14:paraId="13E9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trPr>
        <w:tc>
          <w:tcPr>
            <w:tcW w:w="1485" w:type="dxa"/>
            <w:vMerge w:val="restart"/>
            <w:vAlign w:val="center"/>
          </w:tcPr>
          <w:p w14:paraId="12C2BA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第一方</w:t>
            </w:r>
            <w:r>
              <w:rPr>
                <w:rFonts w:hint="eastAsia"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损失</w:t>
            </w:r>
          </w:p>
        </w:tc>
        <w:tc>
          <w:tcPr>
            <w:tcW w:w="1425" w:type="dxa"/>
            <w:vAlign w:val="center"/>
          </w:tcPr>
          <w:p w14:paraId="6FA5B1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营业中断损失</w:t>
            </w:r>
          </w:p>
        </w:tc>
        <w:tc>
          <w:tcPr>
            <w:tcW w:w="5430" w:type="dxa"/>
            <w:vAlign w:val="center"/>
          </w:tcPr>
          <w:p w14:paraId="7965B13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在保险期间或保险单载明的追溯期内因发生网络安全事故，造成被保险计算机系统全部或部分中断，导致被保险人营业受到干扰或中断，由此而产生的赔偿期内的毛利润损失，保险人按照保险合同的约定负责赔偿。</w:t>
            </w:r>
          </w:p>
        </w:tc>
      </w:tr>
      <w:tr w14:paraId="2AA9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1485" w:type="dxa"/>
            <w:vMerge w:val="continue"/>
            <w:vAlign w:val="center"/>
          </w:tcPr>
          <w:p w14:paraId="217108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p>
        </w:tc>
        <w:tc>
          <w:tcPr>
            <w:tcW w:w="1425" w:type="dxa"/>
            <w:vAlign w:val="center"/>
          </w:tcPr>
          <w:p w14:paraId="77924E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网络勒索损失</w:t>
            </w:r>
          </w:p>
        </w:tc>
        <w:tc>
          <w:tcPr>
            <w:tcW w:w="5430" w:type="dxa"/>
            <w:vAlign w:val="center"/>
          </w:tcPr>
          <w:p w14:paraId="6BDFFD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被保险人在保险期间或保险单载明的追溯期内，因计算机系统遭受安全威胁造成的勒索损失，保险人按照保险合同的约定负责赔偿。</w:t>
            </w:r>
          </w:p>
        </w:tc>
      </w:tr>
      <w:tr w14:paraId="799E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vAlign w:val="center"/>
          </w:tcPr>
          <w:p w14:paraId="41FA81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p>
        </w:tc>
        <w:tc>
          <w:tcPr>
            <w:tcW w:w="1425" w:type="dxa"/>
            <w:vAlign w:val="center"/>
          </w:tcPr>
          <w:p w14:paraId="53ADDB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网络欺诈损失及社会工程学犯罪损失</w:t>
            </w:r>
          </w:p>
        </w:tc>
        <w:tc>
          <w:tcPr>
            <w:tcW w:w="5430" w:type="dxa"/>
          </w:tcPr>
          <w:p w14:paraId="061143E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被保险人在保险期间或保险单载明的追溯期内，因网络欺诈行为或社会工程学犯罪行为直接导致的网络欺诈损失和社会工程学损失，保险人按照保险合同的约定负责赔偿。</w:t>
            </w:r>
          </w:p>
          <w:p w14:paraId="0DEDCFA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网络欺诈损失是指由网络欺诈行为直接导致的，被保险人所属（或被保险人看管、保管或控制的并具有法律赔偿责任）的财产、货币或有价证券被盗窃的损失；社会工程学损失是指由社会工程学犯罪行为直接导致的被保险人的财产、货币或有价证券的直接经济损失。</w:t>
            </w:r>
          </w:p>
        </w:tc>
      </w:tr>
      <w:tr w14:paraId="3A55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5" w:hRule="atLeast"/>
        </w:trPr>
        <w:tc>
          <w:tcPr>
            <w:tcW w:w="1485" w:type="dxa"/>
            <w:vMerge w:val="restart"/>
            <w:vAlign w:val="center"/>
          </w:tcPr>
          <w:p w14:paraId="69844E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第三方损失</w:t>
            </w:r>
          </w:p>
        </w:tc>
        <w:tc>
          <w:tcPr>
            <w:tcW w:w="1425" w:type="dxa"/>
            <w:vAlign w:val="center"/>
          </w:tcPr>
          <w:p w14:paraId="24DCAD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网络安全责任</w:t>
            </w:r>
          </w:p>
        </w:tc>
        <w:tc>
          <w:tcPr>
            <w:tcW w:w="5430" w:type="dxa"/>
          </w:tcPr>
          <w:p w14:paraId="7D824E6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被保险人在保险期间或保险单载明的追溯期内发生网络安全事故直接引起第三者非信息泄露的损失，由该第三者在保险期间或延长报告期（如附加）内首次向被保险人提出损害赔偿请求，依法应由被保险人承担的经济赔偿责任，保险人根据保险合同的约定负责赔偿。</w:t>
            </w:r>
          </w:p>
        </w:tc>
      </w:tr>
      <w:tr w14:paraId="52F2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vAlign w:val="center"/>
          </w:tcPr>
          <w:p w14:paraId="5F89E9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p>
        </w:tc>
        <w:tc>
          <w:tcPr>
            <w:tcW w:w="1425" w:type="dxa"/>
            <w:vAlign w:val="center"/>
          </w:tcPr>
          <w:p w14:paraId="7A4F92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保密责任</w:t>
            </w:r>
          </w:p>
        </w:tc>
        <w:tc>
          <w:tcPr>
            <w:tcW w:w="5430" w:type="dxa"/>
          </w:tcPr>
          <w:p w14:paraId="2CCF88D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被保险人在保险期间或保险单载明的追溯期内由于疏忽或过失行为造成第三者的个人信息泄露或公司信息泄露，由该第三者在保险期间或延长报告期（如附加）内首次向被保险人提出损害赔偿请求，依法应由被保险人承担的经济赔偿责任，保险人根据保险合同的约定负责赔偿。</w:t>
            </w:r>
          </w:p>
        </w:tc>
      </w:tr>
      <w:tr w14:paraId="1C5C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restart"/>
            <w:vAlign w:val="center"/>
          </w:tcPr>
          <w:p w14:paraId="45A8AF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其它费用损失</w:t>
            </w:r>
          </w:p>
        </w:tc>
        <w:tc>
          <w:tcPr>
            <w:tcW w:w="1425" w:type="dxa"/>
            <w:vAlign w:val="center"/>
          </w:tcPr>
          <w:p w14:paraId="2E95F7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数据修复费用和硬件改善费用</w:t>
            </w:r>
          </w:p>
        </w:tc>
        <w:tc>
          <w:tcPr>
            <w:tcW w:w="5430" w:type="dxa"/>
          </w:tcPr>
          <w:p w14:paraId="2A7C6D2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被保险人在保险期间或保险单载明的追溯期内因发生网络安全事故，产生的与下述事项有关的合理、必要的费用，保险人按照保险合同的约定负责赔偿。</w:t>
            </w:r>
          </w:p>
          <w:p w14:paraId="53EBDCE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1.评估数据是否能够恢复、重建或重新收集；</w:t>
            </w:r>
          </w:p>
          <w:p w14:paraId="4CBDDFA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2.恢复、重建或重新收集数据；</w:t>
            </w:r>
          </w:p>
          <w:p w14:paraId="5E556AB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3.从被保险人的计算机系统移除恶意软件或程序；</w:t>
            </w:r>
          </w:p>
          <w:p w14:paraId="46701B2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4.发生网络安全事故后，在满足以下全部条件的前提下，被保险人安装更加安全和更高效率版本的计算机系统而发生的必要的硬件改善费用：</w:t>
            </w:r>
          </w:p>
          <w:p w14:paraId="2783801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（1）被保险人书面申请，保险人书面同意；</w:t>
            </w:r>
          </w:p>
          <w:p w14:paraId="2BF5AFE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 xml:space="preserve">（2）发生网络安全事故时，安装的相关计算机系统相较于原计算机系统的进步基于普遍技术水平进步； </w:t>
            </w:r>
          </w:p>
          <w:p w14:paraId="3256D6C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（3）安装的相关计算机系统对于防止相同网络安全事故再次发生是必要的。</w:t>
            </w:r>
          </w:p>
        </w:tc>
      </w:tr>
      <w:tr w14:paraId="048C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0" w:hRule="atLeast"/>
        </w:trPr>
        <w:tc>
          <w:tcPr>
            <w:tcW w:w="1485" w:type="dxa"/>
            <w:vMerge w:val="continue"/>
            <w:vAlign w:val="center"/>
          </w:tcPr>
          <w:p w14:paraId="0D7192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p>
        </w:tc>
        <w:tc>
          <w:tcPr>
            <w:tcW w:w="1425" w:type="dxa"/>
            <w:vAlign w:val="center"/>
          </w:tcPr>
          <w:p w14:paraId="0D07AE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事故响应费用</w:t>
            </w:r>
          </w:p>
        </w:tc>
        <w:tc>
          <w:tcPr>
            <w:tcW w:w="5430" w:type="dxa"/>
          </w:tcPr>
          <w:p w14:paraId="4F906E4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被保险人在保险期间或保险单载明的追溯期内因保险单列明投保的保障项目发生保险事故，为避免和减少损失扩大，保险人可以指派经被保险人和保险人双方认可的第三方专业机构作为咨询顾问或事故处理专家，对被保险人提供计算机系统的事故处理、名誉恢复等应急服务及解决方案，由此产生的必要、合理的费用，保险人依据保险合同约定的负责赔偿。</w:t>
            </w:r>
          </w:p>
        </w:tc>
      </w:tr>
    </w:tbl>
    <w:p w14:paraId="5A1F346A">
      <w:pPr>
        <w:spacing w:afterLines="50"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（三）增值服务内容说明</w:t>
      </w:r>
    </w:p>
    <w:tbl>
      <w:tblPr>
        <w:tblStyle w:val="9"/>
        <w:tblW w:w="8340"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6855"/>
      </w:tblGrid>
      <w:tr w14:paraId="04D5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tcPr>
          <w:p w14:paraId="634673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服务类别</w:t>
            </w:r>
          </w:p>
        </w:tc>
        <w:tc>
          <w:tcPr>
            <w:tcW w:w="6855" w:type="dxa"/>
          </w:tcPr>
          <w:p w14:paraId="07FE9E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服务内容</w:t>
            </w:r>
          </w:p>
        </w:tc>
      </w:tr>
      <w:tr w14:paraId="4965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Align w:val="center"/>
          </w:tcPr>
          <w:p w14:paraId="4EC335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风险评估</w:t>
            </w:r>
          </w:p>
        </w:tc>
        <w:tc>
          <w:tcPr>
            <w:tcW w:w="6855" w:type="dxa"/>
          </w:tcPr>
          <w:p w14:paraId="6600D76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利用专业工具对IT资产进行全面梳理，对IT资产潜在的威胁、安全措施有效性、以及对业务系统的脆弱性进行评估，形成专业的风险评估报告。</w:t>
            </w:r>
          </w:p>
        </w:tc>
      </w:tr>
      <w:tr w14:paraId="30CD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Align w:val="center"/>
          </w:tcPr>
          <w:p w14:paraId="201B0F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安全巡检</w:t>
            </w:r>
          </w:p>
        </w:tc>
        <w:tc>
          <w:tcPr>
            <w:tcW w:w="6855" w:type="dxa"/>
          </w:tcPr>
          <w:p w14:paraId="20F23F1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周期性安全检查，通过分析设备的运行状态、安全配置、安全日志、告警信息等形成安全巡检报告。</w:t>
            </w:r>
          </w:p>
        </w:tc>
      </w:tr>
      <w:tr w14:paraId="0EDC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85" w:type="dxa"/>
            <w:vAlign w:val="center"/>
          </w:tcPr>
          <w:p w14:paraId="4B048E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安全加固</w:t>
            </w:r>
          </w:p>
        </w:tc>
        <w:tc>
          <w:tcPr>
            <w:tcW w:w="6855" w:type="dxa"/>
          </w:tcPr>
          <w:p w14:paraId="2E9E4AE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根据客户存在的网络安全风险，提供专业可实施的安全加固建议，协助进行加固建议落地，提供加固后的复测服务，输出安全风险复测报告。</w:t>
            </w:r>
          </w:p>
        </w:tc>
      </w:tr>
      <w:tr w14:paraId="06F1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Align w:val="center"/>
          </w:tcPr>
          <w:p w14:paraId="5B7E46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应急响应</w:t>
            </w:r>
          </w:p>
        </w:tc>
        <w:tc>
          <w:tcPr>
            <w:tcW w:w="6855" w:type="dxa"/>
          </w:tcPr>
          <w:p w14:paraId="570EA12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在发生重大、紧急网络安全事件后，快速到达现场，提供专业的安全工具检测与分析安全威胁、抑制处置手段，协助快速恢复业务、溯源攻击路径、分析事件原因、提供加固整改建议。</w:t>
            </w:r>
          </w:p>
        </w:tc>
      </w:tr>
      <w:tr w14:paraId="4A3C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Align w:val="center"/>
          </w:tcPr>
          <w:p w14:paraId="4C22BB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安全培训</w:t>
            </w:r>
          </w:p>
        </w:tc>
        <w:tc>
          <w:tcPr>
            <w:tcW w:w="6855" w:type="dxa"/>
          </w:tcPr>
          <w:p w14:paraId="789659D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针对全体办公人员进行网络安全风险意识培训，提升全员安全意识。</w:t>
            </w:r>
          </w:p>
        </w:tc>
      </w:tr>
      <w:tr w14:paraId="73D9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Align w:val="center"/>
          </w:tcPr>
          <w:p w14:paraId="25B750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安全咨询</w:t>
            </w:r>
          </w:p>
        </w:tc>
        <w:tc>
          <w:tcPr>
            <w:tcW w:w="6855" w:type="dxa"/>
          </w:tcPr>
          <w:p w14:paraId="499F930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提供网络安全咨询服务，覆盖风险评估、渗透测试、数据合规、安全体系规划、攻防演练、应急处置、安全培训、网络安全法律法规等内容。</w:t>
            </w:r>
          </w:p>
        </w:tc>
      </w:tr>
      <w:tr w14:paraId="50BD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85" w:type="dxa"/>
            <w:vAlign w:val="center"/>
          </w:tcPr>
          <w:p w14:paraId="240A96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渗透测试</w:t>
            </w:r>
          </w:p>
        </w:tc>
        <w:tc>
          <w:tcPr>
            <w:tcW w:w="6855" w:type="dxa"/>
          </w:tcPr>
          <w:p w14:paraId="6EBC18E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通过模拟黑客的攻击行为与分析方法对应用系统进行一次全面的安全测试，识别目标系统中存在的安全风险，输出测试报告与修复建议。针对整改情况进行复测，给出复测结果。</w:t>
            </w:r>
          </w:p>
        </w:tc>
      </w:tr>
      <w:tr w14:paraId="48F8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Align w:val="center"/>
          </w:tcPr>
          <w:p w14:paraId="359140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病毒木马</w:t>
            </w:r>
          </w:p>
          <w:p w14:paraId="0BA86F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专项检查</w:t>
            </w:r>
          </w:p>
        </w:tc>
        <w:tc>
          <w:tcPr>
            <w:tcW w:w="6855" w:type="dxa"/>
          </w:tcPr>
          <w:p w14:paraId="09E99AA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采集病毒、木马痕迹；检测病毒、木马通信特征；模拟黑客进行数据包拦截，对网络通讯特征进行检测分析。</w:t>
            </w:r>
          </w:p>
        </w:tc>
      </w:tr>
    </w:tbl>
    <w:p w14:paraId="18B3F058">
      <w:pPr>
        <w:pStyle w:val="11"/>
        <w:keepNext w:val="0"/>
        <w:keepLines w:val="0"/>
        <w:pageBreakBefore w:val="0"/>
        <w:widowControl w:val="0"/>
        <w:kinsoku/>
        <w:wordWrap/>
        <w:overflowPunct/>
        <w:topLinePunct w:val="0"/>
        <w:autoSpaceDE/>
        <w:autoSpaceDN/>
        <w:bidi w:val="0"/>
        <w:adjustRightInd/>
        <w:snapToGrid/>
        <w:spacing w:before="0" w:after="0" w:line="520" w:lineRule="exact"/>
        <w:ind w:firstLine="640" w:firstLineChars="200"/>
        <w:jc w:val="both"/>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四、理赔流程</w:t>
      </w:r>
    </w:p>
    <w:p w14:paraId="5BEE9909">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（一）出险通知：</w:t>
      </w:r>
      <w:r>
        <w:rPr>
          <w:rFonts w:hint="default" w:ascii="Times New Roman" w:hAnsi="Times New Roman" w:eastAsia="仿宋_GB2312" w:cs="Times New Roman"/>
          <w:sz w:val="32"/>
          <w:szCs w:val="32"/>
        </w:rPr>
        <w:t>企业发生网络安全事件后，应当在1小时内拨打人保财险东莞分公司报案专线95518，同时与网络安全应急响应团队取得联系，阐述事件情况及初步预估损失。</w:t>
      </w:r>
    </w:p>
    <w:p w14:paraId="3698E9B0">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（二）应急响应：</w:t>
      </w:r>
      <w:r>
        <w:rPr>
          <w:rFonts w:hint="default" w:ascii="Times New Roman" w:hAnsi="Times New Roman" w:eastAsia="仿宋_GB2312" w:cs="Times New Roman"/>
          <w:sz w:val="32"/>
          <w:szCs w:val="32"/>
        </w:rPr>
        <w:t>网络安全服务商在接获通知后，即刻启动应急响应机制，协助企业开展现场处置、证据固定、风险隔离等相关工作；人保财险东莞分公司同步调配理赔人员介入，指导企业做好理赔准备工作。</w:t>
      </w:r>
    </w:p>
    <w:p w14:paraId="71E53807">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（三）事故调查：</w:t>
      </w:r>
      <w:r>
        <w:rPr>
          <w:rFonts w:hint="default" w:ascii="Times New Roman" w:hAnsi="Times New Roman" w:eastAsia="仿宋_GB2312" w:cs="Times New Roman"/>
          <w:sz w:val="32"/>
          <w:szCs w:val="32"/>
        </w:rPr>
        <w:t>网络安全服务商出具安全事件鉴定评估报告，明确事故原因、影响范围及损失程度；人保财险东莞分公司结合报告及企业提交的理赔材料，开展事故调查核实工作。</w:t>
      </w:r>
    </w:p>
    <w:p w14:paraId="291FC376">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（四）损失核定：</w:t>
      </w:r>
      <w:r>
        <w:rPr>
          <w:rFonts w:hint="default" w:ascii="Times New Roman" w:hAnsi="Times New Roman" w:eastAsia="仿宋_GB2312" w:cs="Times New Roman"/>
          <w:sz w:val="32"/>
          <w:szCs w:val="32"/>
        </w:rPr>
        <w:t>人保财险东莞分公司依据保险合同约定、事故调查结果及相关凭证，对损失金额予以核定；针对符合条件的保密责任、事故响应费用等，启动预赔款政策，并于72小时内完成预赔付。</w:t>
      </w:r>
    </w:p>
    <w:p w14:paraId="4B16597E">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（五）赔付结案：</w:t>
      </w:r>
      <w:r>
        <w:rPr>
          <w:rFonts w:hint="default" w:ascii="Times New Roman" w:hAnsi="Times New Roman" w:eastAsia="仿宋_GB2312" w:cs="Times New Roman"/>
          <w:sz w:val="32"/>
          <w:szCs w:val="32"/>
        </w:rPr>
        <w:t>材料审核通过后，人保财险东莞分公司在规定时限内支付赔款，完成结案工作；网络安全服务商同步提供安全整改建议，助力企业提升防护能力。</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黑体_GBK" w:cs="Times New Roman"/>
          <w:sz w:val="32"/>
          <w:szCs w:val="32"/>
        </w:rPr>
        <w:t>五、适用条款</w:t>
      </w:r>
    </w:p>
    <w:p w14:paraId="4EDF9A79">
      <w:pPr>
        <w:pStyle w:val="3"/>
        <w:keepNext w:val="0"/>
        <w:keepLines w:val="0"/>
        <w:pageBreakBefore w:val="0"/>
        <w:widowControl w:val="0"/>
        <w:kinsoku/>
        <w:wordWrap/>
        <w:overflowPunct/>
        <w:topLinePunct w:val="0"/>
        <w:autoSpaceDE/>
        <w:autoSpaceDN/>
        <w:bidi w:val="0"/>
        <w:adjustRightInd/>
        <w:snapToGrid/>
        <w:spacing w:before="0" w:after="0" w:line="52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val="0"/>
          <w:bCs w:val="0"/>
          <w:kern w:val="2"/>
          <w:sz w:val="32"/>
          <w:szCs w:val="32"/>
        </w:rPr>
        <w:t>中国人民财产保险股份有限公司网络安全综合保险（2025版）条款（注册编号210113）</w:t>
      </w:r>
    </w:p>
    <w:p w14:paraId="1F1A876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方正黑体_GBK" w:cs="Times New Roman"/>
          <w:b w:val="0"/>
          <w:bCs w:val="0"/>
          <w:kern w:val="0"/>
          <w:sz w:val="32"/>
          <w:szCs w:val="32"/>
        </w:rPr>
        <w:t>六、业务联系人</w:t>
      </w:r>
    </w:p>
    <w:p w14:paraId="2622DB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保险联系人：欧阳天生</w:t>
      </w:r>
    </w:p>
    <w:p w14:paraId="0F6C47D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工作位单位：东莞人保财险</w:t>
      </w:r>
    </w:p>
    <w:p w14:paraId="1E5ECD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联系电话：13423338033</w:t>
      </w:r>
    </w:p>
    <w:p w14:paraId="0473392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电子邮箱：</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"mailto:dinglanlan663@pingan.com.cn"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ouyangtiansheng-dg@guangd.picc.com.cn </w:t>
      </w:r>
      <w:r>
        <w:rPr>
          <w:rFonts w:hint="default" w:ascii="Times New Roman" w:hAnsi="Times New Roman" w:eastAsia="仿宋_GB2312" w:cs="Times New Roman"/>
          <w:sz w:val="32"/>
          <w:szCs w:val="32"/>
        </w:rPr>
        <w:fldChar w:fldCharType="end"/>
      </w:r>
    </w:p>
    <w:p w14:paraId="7E90F2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服务支撑联系人：梁清梅</w:t>
      </w:r>
    </w:p>
    <w:p w14:paraId="17F5AB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工作位单位：东莞人保财险</w:t>
      </w:r>
    </w:p>
    <w:p w14:paraId="670417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联系电话：13527991936</w:t>
      </w:r>
    </w:p>
    <w:p w14:paraId="604BF69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 w:cs="Times New Roman"/>
          <w:sz w:val="24"/>
        </w:rPr>
      </w:pPr>
      <w:r>
        <w:rPr>
          <w:rFonts w:hint="default" w:ascii="Times New Roman" w:hAnsi="Times New Roman" w:eastAsia="仿宋_GB2312" w:cs="Times New Roman"/>
          <w:sz w:val="32"/>
          <w:szCs w:val="32"/>
        </w:rPr>
        <w:t>电子邮箱：liangqingmei01@guangd.picc.com.cn</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华康简标宋"/>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华康简标宋"/>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康简标宋">
    <w:panose1 w:val="0201060900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1552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1B398E">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F1B398E">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DD06A">
    <w:pPr>
      <w:pStyle w:val="6"/>
    </w:pP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644"/>
    <w:rsid w:val="0041045F"/>
    <w:rsid w:val="00A56644"/>
    <w:rsid w:val="00D91817"/>
    <w:rsid w:val="03764359"/>
    <w:rsid w:val="040824AC"/>
    <w:rsid w:val="04F54307"/>
    <w:rsid w:val="05006982"/>
    <w:rsid w:val="07433EF7"/>
    <w:rsid w:val="07977E19"/>
    <w:rsid w:val="0D4020AA"/>
    <w:rsid w:val="0E760227"/>
    <w:rsid w:val="0F3D06F8"/>
    <w:rsid w:val="13415DC5"/>
    <w:rsid w:val="143A53BF"/>
    <w:rsid w:val="1A240188"/>
    <w:rsid w:val="1A3B756E"/>
    <w:rsid w:val="1A842211"/>
    <w:rsid w:val="1F9FDD8D"/>
    <w:rsid w:val="205D451F"/>
    <w:rsid w:val="239F751E"/>
    <w:rsid w:val="23FC5019"/>
    <w:rsid w:val="2565546A"/>
    <w:rsid w:val="273F31CC"/>
    <w:rsid w:val="2A1B583C"/>
    <w:rsid w:val="2A2C3BDD"/>
    <w:rsid w:val="2C532FDF"/>
    <w:rsid w:val="2E275A32"/>
    <w:rsid w:val="2F26184D"/>
    <w:rsid w:val="31044573"/>
    <w:rsid w:val="325D22F0"/>
    <w:rsid w:val="325E2F6B"/>
    <w:rsid w:val="357069B7"/>
    <w:rsid w:val="36807E79"/>
    <w:rsid w:val="3A773A27"/>
    <w:rsid w:val="3ABD4611"/>
    <w:rsid w:val="3AF5583C"/>
    <w:rsid w:val="3CB12907"/>
    <w:rsid w:val="3CF3A3D5"/>
    <w:rsid w:val="3E0218C6"/>
    <w:rsid w:val="3F1A404D"/>
    <w:rsid w:val="408E26A8"/>
    <w:rsid w:val="415232C3"/>
    <w:rsid w:val="42A073A8"/>
    <w:rsid w:val="43F041A7"/>
    <w:rsid w:val="44AE2BC8"/>
    <w:rsid w:val="4748547E"/>
    <w:rsid w:val="4E891FB7"/>
    <w:rsid w:val="57644CD0"/>
    <w:rsid w:val="5CEB19FD"/>
    <w:rsid w:val="603F5678"/>
    <w:rsid w:val="61B31956"/>
    <w:rsid w:val="68706054"/>
    <w:rsid w:val="68CC4164"/>
    <w:rsid w:val="6A1D29A9"/>
    <w:rsid w:val="6A8822A9"/>
    <w:rsid w:val="6C3D278A"/>
    <w:rsid w:val="6D7F67D1"/>
    <w:rsid w:val="70190ED3"/>
    <w:rsid w:val="70BB087F"/>
    <w:rsid w:val="71C21FDA"/>
    <w:rsid w:val="71D600D2"/>
    <w:rsid w:val="71DE7B1C"/>
    <w:rsid w:val="722578D7"/>
    <w:rsid w:val="724D4F33"/>
    <w:rsid w:val="78022829"/>
    <w:rsid w:val="78B1059A"/>
    <w:rsid w:val="792A1329"/>
    <w:rsid w:val="7A486D1D"/>
    <w:rsid w:val="7B137DD2"/>
    <w:rsid w:val="7C5E6494"/>
    <w:rsid w:val="7CCC14D9"/>
    <w:rsid w:val="7E0272C8"/>
    <w:rsid w:val="7E0AB781"/>
    <w:rsid w:val="7FCC5C3A"/>
    <w:rsid w:val="B6FF3672"/>
    <w:rsid w:val="BCFB416E"/>
    <w:rsid w:val="C6DFA2C0"/>
    <w:rsid w:val="DB6EF773"/>
    <w:rsid w:val="DEE98980"/>
    <w:rsid w:val="E4574036"/>
    <w:rsid w:val="E73F7B3D"/>
    <w:rsid w:val="ED3E7732"/>
    <w:rsid w:val="FB7FC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sz w:val="24"/>
    </w:rPr>
  </w:style>
  <w:style w:type="paragraph" w:styleId="4">
    <w:name w:val="Body Text Indent"/>
    <w:basedOn w:val="1"/>
    <w:qFormat/>
    <w:uiPriority w:val="0"/>
    <w:pPr>
      <w:ind w:firstLine="480"/>
    </w:pPr>
    <w:rPr>
      <w:rFonts w:ascii="仿宋_GB2312" w:hAnsi="Times New Roman" w:eastAsia="仿宋_GB2312"/>
      <w:bCs/>
      <w:sz w:val="24"/>
    </w:rPr>
  </w:style>
  <w:style w:type="paragraph" w:styleId="5">
    <w:name w:val="footer"/>
    <w:basedOn w:val="1"/>
    <w:qFormat/>
    <w:uiPriority w:val="99"/>
    <w:pPr>
      <w:tabs>
        <w:tab w:val="center" w:pos="4153"/>
        <w:tab w:val="right" w:pos="8306"/>
      </w:tabs>
      <w:snapToGrid w:val="0"/>
      <w:jc w:val="left"/>
    </w:pPr>
    <w:rPr>
      <w:rFonts w:ascii="Times New Roman" w:hAnsi="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2"/>
    <w:basedOn w:val="1"/>
    <w:qFormat/>
    <w:uiPriority w:val="99"/>
    <w:pPr>
      <w:spacing w:after="120" w:line="480" w:lineRule="auto"/>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12">
    <w:name w:val="apple-style-spa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2808</Words>
  <Characters>16006</Characters>
  <Lines>133</Lines>
  <Paragraphs>37</Paragraphs>
  <TotalTime>17</TotalTime>
  <ScaleCrop>false</ScaleCrop>
  <LinksUpToDate>false</LinksUpToDate>
  <CharactersWithSpaces>18777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2026-06-17T03:14:00Z</dcterms:created>
  <dc:creator>黄泽林</dc:creator>
  <cp:lastModifiedBy>Autumn</cp:lastModifiedBy>
  <cp:lastPrinted>2026-07-20T18:01:00Z</cp:lastPrinted>
  <dcterms:modified xsi:type="dcterms:W3CDTF">2026-07-22T09:49:25Z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677E8D3093757362A521606AE7E1EFA9_43</vt:lpwstr>
  </property>
  <property fmtid="{D5CDD505-2E9C-101B-9397-08002B2CF9AE}" pid="4" name="KSOTemplateDocerSaveRecord">
    <vt:lpwstr>eyJoZGlkIjoiZDdhOGNjZWUwNmM0MTRmNGY2ZDY0MzY0YmU0NTlhZGYiLCJ1c2VySWQiOiIyMzU0OTYwMzcifQ==</vt:lpwstr>
  </property>
</Properties>
</file>