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00E85">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黑体" w:hAnsi="黑体" w:eastAsia="黑体" w:cs="黑体"/>
          <w:color w:val="auto"/>
          <w:kern w:val="2"/>
          <w:sz w:val="32"/>
          <w:szCs w:val="32"/>
          <w:highlight w:val="none"/>
          <w:lang w:val="en-US" w:eastAsia="zh-CN"/>
        </w:rPr>
      </w:pPr>
      <w:r>
        <w:rPr>
          <w:rFonts w:hint="eastAsia" w:ascii="黑体" w:hAnsi="黑体" w:eastAsia="黑体" w:cs="黑体"/>
          <w:color w:val="auto"/>
          <w:kern w:val="2"/>
          <w:sz w:val="32"/>
          <w:szCs w:val="32"/>
          <w:highlight w:val="none"/>
          <w:lang w:val="en-US" w:eastAsia="zh-CN"/>
        </w:rPr>
        <w:t>附件4</w:t>
      </w:r>
    </w:p>
    <w:p w14:paraId="4B246365">
      <w:pPr>
        <w:spacing w:line="600" w:lineRule="exact"/>
        <w:jc w:val="center"/>
        <w:rPr>
          <w:rFonts w:hint="eastAsia" w:ascii="Times New Roman" w:hAnsi="Times New Roman" w:eastAsia="方正小标宋简体"/>
          <w:sz w:val="44"/>
          <w:szCs w:val="44"/>
        </w:rPr>
      </w:pPr>
    </w:p>
    <w:p w14:paraId="0734E67A">
      <w:pPr>
        <w:spacing w:line="60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lang w:eastAsia="zh-CN"/>
        </w:rPr>
        <w:t>202</w:t>
      </w:r>
      <w:r>
        <w:rPr>
          <w:rFonts w:hint="eastAsia" w:ascii="Times New Roman" w:hAnsi="Times New Roman" w:eastAsia="方正小标宋简体"/>
          <w:sz w:val="44"/>
          <w:szCs w:val="44"/>
          <w:lang w:val="en-US" w:eastAsia="zh-CN"/>
        </w:rPr>
        <w:t>7</w:t>
      </w:r>
      <w:r>
        <w:rPr>
          <w:rFonts w:hint="eastAsia" w:ascii="Times New Roman" w:hAnsi="Times New Roman" w:eastAsia="方正小标宋简体"/>
          <w:sz w:val="44"/>
          <w:szCs w:val="44"/>
          <w:lang w:eastAsia="zh-CN"/>
        </w:rPr>
        <w:t>年省级制造业当家重点任务保障专项资金</w:t>
      </w:r>
      <w:r>
        <w:rPr>
          <w:rFonts w:hint="eastAsia" w:ascii="Times New Roman" w:hAnsi="Times New Roman" w:eastAsia="方正小标宋简体"/>
          <w:sz w:val="44"/>
          <w:szCs w:val="44"/>
        </w:rPr>
        <w:t>首台（套）重大技术装备研制与推广</w:t>
      </w:r>
    </w:p>
    <w:p w14:paraId="206C649C">
      <w:pPr>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应用项目入库储备</w:t>
      </w:r>
      <w:r>
        <w:rPr>
          <w:rFonts w:hint="eastAsia" w:ascii="Times New Roman" w:hAnsi="Times New Roman" w:eastAsia="方正小标宋简体"/>
          <w:sz w:val="44"/>
          <w:szCs w:val="44"/>
          <w:lang w:val="en-US" w:eastAsia="zh-CN"/>
        </w:rPr>
        <w:t>财务</w:t>
      </w:r>
      <w:r>
        <w:rPr>
          <w:rFonts w:hint="eastAsia" w:ascii="Times New Roman" w:hAnsi="Times New Roman" w:eastAsia="方正小标宋简体"/>
          <w:sz w:val="44"/>
          <w:szCs w:val="44"/>
        </w:rPr>
        <w:t>审计</w:t>
      </w:r>
      <w:r>
        <w:rPr>
          <w:rFonts w:hint="eastAsia" w:ascii="Times New Roman" w:hAnsi="Times New Roman" w:eastAsia="方正小标宋简体"/>
          <w:sz w:val="44"/>
          <w:szCs w:val="44"/>
          <w:lang w:val="en-US" w:eastAsia="zh-CN"/>
        </w:rPr>
        <w:t>工作</w:t>
      </w:r>
      <w:r>
        <w:rPr>
          <w:rFonts w:hint="eastAsia" w:ascii="Times New Roman" w:hAnsi="Times New Roman" w:eastAsia="方正小标宋简体"/>
          <w:sz w:val="44"/>
          <w:szCs w:val="44"/>
        </w:rPr>
        <w:t>指引</w:t>
      </w:r>
    </w:p>
    <w:p w14:paraId="3415DD3D">
      <w:pPr>
        <w:spacing w:line="600" w:lineRule="exact"/>
        <w:jc w:val="center"/>
        <w:rPr>
          <w:rFonts w:hint="eastAsia" w:ascii="Times New Roman" w:hAnsi="Times New Roman" w:eastAsia="仿宋_GB2312"/>
          <w:sz w:val="32"/>
          <w:szCs w:val="32"/>
          <w:lang w:eastAsia="zh-CN"/>
        </w:rPr>
      </w:pPr>
    </w:p>
    <w:p w14:paraId="7894888B">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p>
    <w:p w14:paraId="173D23D7">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ascii="Times New Roman" w:hAnsi="Times New Roman" w:eastAsia="仿宋_GB2312"/>
          <w:sz w:val="32"/>
          <w:szCs w:val="32"/>
        </w:rPr>
        <w:t>根据《广东省工业和信息化厅省级财政资金项目库管理办法》（粤工信办函〔2020〕25号）《广东省工业和信息化厅 广东省财政厅关于先进制造业发展专项资金首台（套）重大技术装备研制与推广应用管理实施细则》（粤工信规字〔2021〕3号）等文件要求，为做好</w:t>
      </w:r>
      <w:r>
        <w:rPr>
          <w:rFonts w:hint="eastAsia" w:ascii="Times New Roman" w:hAnsi="Times New Roman" w:eastAsia="仿宋_GB2312"/>
          <w:sz w:val="32"/>
          <w:szCs w:val="32"/>
          <w:lang w:val="en-US" w:eastAsia="zh-CN"/>
        </w:rPr>
        <w:t>2027年</w:t>
      </w:r>
      <w:r>
        <w:rPr>
          <w:rFonts w:hint="eastAsia" w:ascii="Times New Roman" w:hAnsi="Times New Roman" w:eastAsia="仿宋_GB2312"/>
          <w:sz w:val="32"/>
          <w:szCs w:val="32"/>
          <w:lang w:eastAsia="zh-CN"/>
        </w:rPr>
        <w:t>省级制造业当家重点任务保障专项资金</w:t>
      </w:r>
      <w:r>
        <w:rPr>
          <w:rFonts w:hint="eastAsia" w:ascii="Times New Roman" w:hAnsi="Times New Roman" w:eastAsia="仿宋_GB2312"/>
          <w:sz w:val="32"/>
          <w:szCs w:val="32"/>
        </w:rPr>
        <w:t>首台（套）重大技术装备研制与推广应用项目入库储备</w:t>
      </w:r>
      <w:r>
        <w:rPr>
          <w:rFonts w:ascii="Times New Roman" w:hAnsi="Times New Roman" w:eastAsia="仿宋_GB2312"/>
          <w:sz w:val="32"/>
          <w:szCs w:val="32"/>
        </w:rPr>
        <w:t>评审工作，制定本工作</w:t>
      </w:r>
      <w:r>
        <w:rPr>
          <w:rFonts w:hint="eastAsia" w:ascii="Times New Roman" w:hAnsi="Times New Roman" w:eastAsia="仿宋_GB2312"/>
          <w:sz w:val="32"/>
          <w:szCs w:val="32"/>
          <w:lang w:eastAsia="zh-CN"/>
        </w:rPr>
        <w:t>指引</w:t>
      </w:r>
      <w:r>
        <w:rPr>
          <w:rFonts w:ascii="Times New Roman" w:hAnsi="Times New Roman" w:eastAsia="仿宋_GB2312"/>
          <w:sz w:val="32"/>
          <w:szCs w:val="32"/>
        </w:rPr>
        <w:t>。</w:t>
      </w:r>
    </w:p>
    <w:p w14:paraId="689D170E">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黑体"/>
          <w:sz w:val="32"/>
          <w:szCs w:val="32"/>
        </w:rPr>
      </w:pPr>
      <w:r>
        <w:rPr>
          <w:rFonts w:ascii="Times New Roman" w:hAnsi="Times New Roman" w:eastAsia="黑体"/>
          <w:sz w:val="32"/>
          <w:szCs w:val="32"/>
        </w:rPr>
        <w:t>一、</w:t>
      </w:r>
      <w:r>
        <w:rPr>
          <w:rFonts w:hint="eastAsia" w:ascii="Times New Roman" w:hAnsi="Times New Roman" w:eastAsia="黑体"/>
          <w:sz w:val="32"/>
          <w:szCs w:val="32"/>
          <w:lang w:val="en-US" w:eastAsia="zh-CN"/>
        </w:rPr>
        <w:t>审计</w:t>
      </w:r>
      <w:r>
        <w:rPr>
          <w:rFonts w:ascii="Times New Roman" w:hAnsi="Times New Roman" w:eastAsia="黑体"/>
          <w:sz w:val="32"/>
          <w:szCs w:val="32"/>
        </w:rPr>
        <w:t>对象</w:t>
      </w:r>
    </w:p>
    <w:p w14:paraId="322AB770">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2027年省级制造业当家重点任务保障专项资金首台（套）重大技术装备研制与推广应用项目入库储备</w:t>
      </w:r>
      <w:r>
        <w:rPr>
          <w:rFonts w:ascii="Times New Roman" w:hAnsi="Times New Roman" w:eastAsia="仿宋_GB2312"/>
          <w:sz w:val="32"/>
          <w:szCs w:val="32"/>
        </w:rPr>
        <w:t>的申报企业和项目。</w:t>
      </w:r>
    </w:p>
    <w:p w14:paraId="3AF0BF77">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黑体"/>
          <w:sz w:val="32"/>
          <w:szCs w:val="32"/>
        </w:rPr>
      </w:pPr>
      <w:r>
        <w:rPr>
          <w:rFonts w:ascii="Times New Roman" w:hAnsi="Times New Roman" w:eastAsia="黑体"/>
          <w:sz w:val="32"/>
          <w:szCs w:val="32"/>
        </w:rPr>
        <w:t>二、</w:t>
      </w:r>
      <w:r>
        <w:rPr>
          <w:rFonts w:hint="eastAsia" w:ascii="Times New Roman" w:hAnsi="Times New Roman" w:eastAsia="黑体"/>
          <w:sz w:val="32"/>
          <w:szCs w:val="32"/>
          <w:lang w:val="en-US" w:eastAsia="zh-CN"/>
        </w:rPr>
        <w:t>审计</w:t>
      </w:r>
      <w:r>
        <w:rPr>
          <w:rFonts w:ascii="Times New Roman" w:hAnsi="Times New Roman" w:eastAsia="黑体"/>
          <w:sz w:val="32"/>
          <w:szCs w:val="32"/>
        </w:rPr>
        <w:t>原则</w:t>
      </w:r>
    </w:p>
    <w:p w14:paraId="208E9C69">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ascii="Times New Roman" w:hAnsi="Times New Roman" w:eastAsia="仿宋_GB2312"/>
          <w:sz w:val="32"/>
          <w:szCs w:val="32"/>
        </w:rPr>
        <w:t>评审工作坚持“公开、公平、公正”原则，规范操作。</w:t>
      </w:r>
    </w:p>
    <w:p w14:paraId="6B716AE6">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黑体"/>
          <w:sz w:val="32"/>
          <w:szCs w:val="32"/>
        </w:rPr>
      </w:pPr>
      <w:r>
        <w:rPr>
          <w:rFonts w:ascii="Times New Roman" w:hAnsi="Times New Roman" w:eastAsia="黑体"/>
          <w:sz w:val="32"/>
          <w:szCs w:val="32"/>
        </w:rPr>
        <w:t>三、</w:t>
      </w:r>
      <w:r>
        <w:rPr>
          <w:rFonts w:hint="eastAsia" w:ascii="Times New Roman" w:hAnsi="Times New Roman" w:eastAsia="黑体"/>
          <w:sz w:val="32"/>
          <w:szCs w:val="32"/>
          <w:lang w:val="en-US" w:eastAsia="zh-CN"/>
        </w:rPr>
        <w:t>审计</w:t>
      </w:r>
      <w:r>
        <w:rPr>
          <w:rFonts w:ascii="Times New Roman" w:hAnsi="Times New Roman" w:eastAsia="黑体"/>
          <w:sz w:val="32"/>
          <w:szCs w:val="32"/>
        </w:rPr>
        <w:t>依据</w:t>
      </w:r>
    </w:p>
    <w:p w14:paraId="168FA208">
      <w:pPr>
        <w:pStyle w:val="10"/>
        <w:keepNext w:val="0"/>
        <w:keepLines w:val="0"/>
        <w:pageBreakBefore w:val="0"/>
        <w:widowControl w:val="0"/>
        <w:kinsoku/>
        <w:wordWrap/>
        <w:overflowPunct/>
        <w:topLinePunct w:val="0"/>
        <w:bidi w:val="0"/>
        <w:snapToGrid/>
        <w:spacing w:line="600" w:lineRule="exact"/>
        <w:ind w:firstLine="646" w:firstLineChars="200"/>
        <w:jc w:val="both"/>
        <w:textAlignment w:val="auto"/>
        <w:rPr>
          <w:rFonts w:hint="eastAsia" w:ascii="Times New Roman" w:eastAsia="仿宋_GB2312" w:cs="Times New Roman"/>
          <w:color w:val="auto"/>
          <w:kern w:val="2"/>
          <w:sz w:val="32"/>
          <w:szCs w:val="32"/>
          <w:highlight w:val="none"/>
          <w:lang w:val="en-US" w:eastAsia="zh-CN"/>
        </w:rPr>
      </w:pPr>
      <w:r>
        <w:rPr>
          <w:rFonts w:hint="eastAsia" w:ascii="Times New Roman" w:eastAsia="仿宋_GB2312" w:cs="Times New Roman"/>
          <w:color w:val="auto"/>
          <w:kern w:val="2"/>
          <w:sz w:val="32"/>
          <w:szCs w:val="32"/>
          <w:highlight w:val="none"/>
          <w:lang w:val="en-US" w:eastAsia="zh-CN"/>
        </w:rPr>
        <w:t>1、</w:t>
      </w:r>
      <w:r>
        <w:rPr>
          <w:rFonts w:hint="eastAsia" w:ascii="Times New Roman" w:hAnsi="Times New Roman" w:eastAsia="仿宋_GB2312"/>
          <w:sz w:val="32"/>
          <w:szCs w:val="32"/>
        </w:rPr>
        <w:t>广东省省级财政专项资金管理办法</w:t>
      </w:r>
      <w:r>
        <w:rPr>
          <w:rFonts w:hint="eastAsia" w:ascii="Times New Roman" w:eastAsia="仿宋_GB2312" w:cs="Times New Roman"/>
          <w:color w:val="auto"/>
          <w:kern w:val="2"/>
          <w:sz w:val="32"/>
          <w:szCs w:val="32"/>
          <w:highlight w:val="none"/>
          <w:lang w:val="en-US" w:eastAsia="zh-CN"/>
        </w:rPr>
        <w:t>（2025年修订）（</w:t>
      </w:r>
      <w:r>
        <w:rPr>
          <w:rFonts w:hint="eastAsia" w:ascii="Times New Roman" w:hAnsi="Times New Roman" w:eastAsia="仿宋_GB2312"/>
          <w:sz w:val="32"/>
          <w:szCs w:val="32"/>
        </w:rPr>
        <w:t>粤府</w:t>
      </w:r>
      <w:r>
        <w:rPr>
          <w:rFonts w:hint="eastAsia" w:ascii="Times New Roman" w:eastAsia="仿宋_GB2312" w:cs="Times New Roman"/>
          <w:color w:val="auto"/>
          <w:kern w:val="2"/>
          <w:sz w:val="32"/>
          <w:szCs w:val="32"/>
          <w:highlight w:val="none"/>
          <w:lang w:val="en-US" w:eastAsia="zh-CN"/>
        </w:rPr>
        <w:t>〔2025〕56号）；</w:t>
      </w:r>
    </w:p>
    <w:p w14:paraId="134AC330">
      <w:pPr>
        <w:pStyle w:val="10"/>
        <w:keepNext w:val="0"/>
        <w:keepLines w:val="0"/>
        <w:pageBreakBefore w:val="0"/>
        <w:widowControl w:val="0"/>
        <w:kinsoku/>
        <w:wordWrap/>
        <w:overflowPunct/>
        <w:topLinePunct w:val="0"/>
        <w:bidi w:val="0"/>
        <w:snapToGrid/>
        <w:spacing w:line="600" w:lineRule="exact"/>
        <w:ind w:firstLine="646" w:firstLineChars="200"/>
        <w:jc w:val="both"/>
        <w:textAlignment w:val="auto"/>
        <w:rPr>
          <w:rFonts w:hint="eastAsia" w:ascii="Times New Roman" w:eastAsia="仿宋_GB2312" w:cs="Times New Roman"/>
          <w:color w:val="auto"/>
          <w:kern w:val="2"/>
          <w:sz w:val="32"/>
          <w:szCs w:val="32"/>
          <w:highlight w:val="none"/>
          <w:lang w:val="en-US" w:eastAsia="zh-CN"/>
        </w:rPr>
      </w:pPr>
      <w:r>
        <w:rPr>
          <w:rFonts w:hint="eastAsia" w:ascii="Times New Roman" w:eastAsia="仿宋_GB2312" w:cs="Times New Roman"/>
          <w:color w:val="auto"/>
          <w:kern w:val="2"/>
          <w:sz w:val="32"/>
          <w:szCs w:val="32"/>
          <w:highlight w:val="none"/>
          <w:lang w:val="en-US" w:eastAsia="zh-CN"/>
        </w:rPr>
        <w:t>2、关于印发省级财政资金项目库管理办法的通知（粤工信办函〔2020〕25号）；</w:t>
      </w:r>
    </w:p>
    <w:p w14:paraId="1047FA10">
      <w:pPr>
        <w:pStyle w:val="10"/>
        <w:keepNext w:val="0"/>
        <w:keepLines w:val="0"/>
        <w:pageBreakBefore w:val="0"/>
        <w:widowControl w:val="0"/>
        <w:kinsoku/>
        <w:wordWrap/>
        <w:overflowPunct/>
        <w:topLinePunct w:val="0"/>
        <w:bidi w:val="0"/>
        <w:snapToGrid/>
        <w:spacing w:line="600" w:lineRule="exact"/>
        <w:ind w:firstLine="646" w:firstLineChars="200"/>
        <w:jc w:val="both"/>
        <w:textAlignment w:val="auto"/>
        <w:rPr>
          <w:rFonts w:hint="eastAsia" w:ascii="Times New Roman" w:eastAsia="仿宋_GB2312" w:cs="Times New Roman"/>
          <w:color w:val="auto"/>
          <w:kern w:val="2"/>
          <w:sz w:val="32"/>
          <w:szCs w:val="32"/>
          <w:highlight w:val="none"/>
          <w:lang w:val="en-US" w:eastAsia="zh-CN"/>
        </w:rPr>
      </w:pPr>
      <w:r>
        <w:rPr>
          <w:rFonts w:hint="eastAsia" w:ascii="Times New Roman" w:eastAsia="仿宋_GB2312" w:cs="Times New Roman"/>
          <w:color w:val="auto"/>
          <w:kern w:val="2"/>
          <w:sz w:val="32"/>
          <w:szCs w:val="32"/>
          <w:highlight w:val="none"/>
          <w:lang w:val="en-US" w:eastAsia="zh-CN"/>
        </w:rPr>
        <w:t>3、广东省工业和信息化厅 广东省财政厅关于先进制造业发展专项资金首台（套）重大技术装备研制与推广应用管理实施细则（粤工信规字〔2021〕3号）；</w:t>
      </w:r>
    </w:p>
    <w:p w14:paraId="59186829">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hint="eastAsia" w:ascii="Times New Roman" w:eastAsia="仿宋_GB2312" w:cs="Times New Roman"/>
          <w:color w:val="auto"/>
          <w:kern w:val="2"/>
          <w:sz w:val="32"/>
          <w:szCs w:val="32"/>
          <w:highlight w:val="none"/>
          <w:lang w:val="en-US" w:eastAsia="zh-CN"/>
        </w:rPr>
        <w:t>4、</w:t>
      </w:r>
      <w:r>
        <w:rPr>
          <w:rFonts w:hint="default" w:ascii="Times New Roman" w:hAnsi="Times New Roman" w:eastAsia="仿宋_GB2312" w:cs="Times New Roman"/>
          <w:sz w:val="32"/>
          <w:szCs w:val="32"/>
        </w:rPr>
        <w:t>广东省工业和信息化厅关于开展省级制造业当家重点任务保障专项资金首台（套）重大技术装备研制与推广应用项目入库储备工作的通知</w:t>
      </w:r>
      <w:r>
        <w:rPr>
          <w:rFonts w:hint="default" w:ascii="Times New Roman" w:hAnsi="Times New Roman" w:eastAsia="仿宋_GB2312" w:cs="Times New Roman"/>
          <w:sz w:val="32"/>
          <w:szCs w:val="32"/>
          <w:lang w:eastAsia="zh-CN"/>
        </w:rPr>
        <w:t>（粤工信装备函〔202</w:t>
      </w:r>
      <w:r>
        <w:rPr>
          <w:rFonts w:hint="eastAsia" w:asci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w:t>
      </w:r>
      <w:r>
        <w:rPr>
          <w:rFonts w:hint="eastAsia" w:ascii="Times New Roman" w:eastAsia="仿宋_GB2312" w:cs="Times New Roman"/>
          <w:sz w:val="32"/>
          <w:szCs w:val="32"/>
          <w:lang w:val="en-US" w:eastAsia="zh-CN"/>
        </w:rPr>
        <w:t>51</w:t>
      </w:r>
      <w:r>
        <w:rPr>
          <w:rFonts w:hint="default" w:ascii="Times New Roman" w:hAnsi="Times New Roman" w:eastAsia="仿宋_GB2312" w:cs="Times New Roman"/>
          <w:sz w:val="32"/>
          <w:szCs w:val="32"/>
          <w:lang w:eastAsia="zh-CN"/>
        </w:rPr>
        <w:t>号）</w:t>
      </w:r>
      <w:r>
        <w:rPr>
          <w:rFonts w:hint="eastAsia" w:ascii="Times New Roman" w:eastAsia="仿宋_GB2312" w:cs="Times New Roman"/>
          <w:sz w:val="32"/>
          <w:szCs w:val="32"/>
          <w:lang w:eastAsia="zh-CN"/>
        </w:rPr>
        <w:t>；</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有关会计制度和会计准则。</w:t>
      </w:r>
    </w:p>
    <w:p w14:paraId="75B89E04">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黑体"/>
          <w:sz w:val="32"/>
          <w:szCs w:val="32"/>
        </w:rPr>
      </w:pPr>
      <w:r>
        <w:rPr>
          <w:rFonts w:ascii="Times New Roman" w:hAnsi="Times New Roman" w:eastAsia="黑体"/>
          <w:sz w:val="32"/>
          <w:szCs w:val="32"/>
        </w:rPr>
        <w:t>四、审计主要内容</w:t>
      </w:r>
    </w:p>
    <w:p w14:paraId="2EB2BB4C">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ascii="Times New Roman" w:hAnsi="Times New Roman" w:eastAsia="仿宋_GB2312"/>
          <w:sz w:val="32"/>
          <w:szCs w:val="32"/>
        </w:rPr>
        <w:t>（一）审计事项</w:t>
      </w:r>
    </w:p>
    <w:p w14:paraId="6C018219">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ascii="Times New Roman" w:hAnsi="Times New Roman" w:eastAsia="仿宋_GB2312"/>
          <w:sz w:val="32"/>
          <w:szCs w:val="32"/>
        </w:rPr>
        <w:t>1.申报装备产品实际销售情况。项目申报单位提前整理好合理规范的销售合同、</w:t>
      </w:r>
      <w:r>
        <w:rPr>
          <w:rFonts w:hint="eastAsia" w:ascii="Times New Roman" w:hAnsi="Times New Roman" w:eastAsia="仿宋_GB2312"/>
          <w:sz w:val="32"/>
          <w:szCs w:val="32"/>
          <w:lang w:eastAsia="zh-CN"/>
        </w:rPr>
        <w:t>销售</w:t>
      </w:r>
      <w:r>
        <w:rPr>
          <w:rFonts w:ascii="Times New Roman" w:hAnsi="Times New Roman" w:eastAsia="仿宋_GB2312"/>
          <w:sz w:val="32"/>
          <w:szCs w:val="32"/>
        </w:rPr>
        <w:t>发票、银行到账凭证、</w:t>
      </w:r>
      <w:r>
        <w:rPr>
          <w:rFonts w:ascii="Times New Roman" w:hAnsi="Times New Roman" w:eastAsia="仿宋_GB2312"/>
          <w:color w:val="000000" w:themeColor="text1"/>
          <w:sz w:val="32"/>
          <w:szCs w:val="32"/>
          <w14:textFill>
            <w14:solidFill>
              <w14:schemeClr w14:val="tx1"/>
            </w14:solidFill>
          </w14:textFill>
        </w:rPr>
        <w:t>发货交付凭证、验收报告、实际用户使用报告</w:t>
      </w:r>
      <w:r>
        <w:rPr>
          <w:rFonts w:ascii="Times New Roman" w:hAnsi="Times New Roman" w:eastAsia="仿宋_GB2312"/>
          <w:sz w:val="32"/>
          <w:szCs w:val="32"/>
        </w:rPr>
        <w:t>以及项目单位的财务审计报告等，待专家组现场核查。</w:t>
      </w:r>
    </w:p>
    <w:p w14:paraId="5C91960D">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ascii="Times New Roman" w:hAnsi="Times New Roman" w:eastAsia="仿宋_GB2312"/>
          <w:sz w:val="32"/>
          <w:szCs w:val="32"/>
        </w:rPr>
        <w:t>2.第三方审计机构根据</w:t>
      </w:r>
      <w:r>
        <w:rPr>
          <w:rFonts w:hint="eastAsia" w:ascii="Times New Roman" w:hAnsi="Times New Roman" w:eastAsia="仿宋_GB2312"/>
          <w:sz w:val="32"/>
          <w:szCs w:val="32"/>
          <w:lang w:val="en-US" w:eastAsia="zh-CN"/>
        </w:rPr>
        <w:t>评审专家组核定的装备产品销售情况</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开展</w:t>
      </w:r>
      <w:r>
        <w:rPr>
          <w:rFonts w:ascii="Times New Roman" w:hAnsi="Times New Roman" w:eastAsia="仿宋_GB2312"/>
          <w:sz w:val="32"/>
          <w:szCs w:val="32"/>
        </w:rPr>
        <w:t>现场审计</w:t>
      </w:r>
      <w:r>
        <w:rPr>
          <w:rFonts w:hint="eastAsia" w:ascii="Times New Roman" w:hAnsi="Times New Roman" w:eastAsia="仿宋_GB2312"/>
          <w:sz w:val="32"/>
          <w:szCs w:val="32"/>
          <w:lang w:eastAsia="zh-CN"/>
        </w:rPr>
        <w:t>，</w:t>
      </w:r>
      <w:r>
        <w:rPr>
          <w:rFonts w:ascii="Times New Roman" w:hAnsi="Times New Roman" w:eastAsia="仿宋_GB2312"/>
          <w:sz w:val="32"/>
          <w:szCs w:val="32"/>
        </w:rPr>
        <w:t>做好工作记录，整理好工作底稿，对审计确认有效的凭证原件予以记录，并出具项目专项审计报告（市工信局提供模版）。</w:t>
      </w:r>
    </w:p>
    <w:p w14:paraId="46CD1B83">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ascii="Times New Roman" w:hAnsi="Times New Roman" w:eastAsia="仿宋_GB2312"/>
          <w:sz w:val="32"/>
          <w:szCs w:val="32"/>
        </w:rPr>
        <w:t>（二）审计要点</w:t>
      </w:r>
    </w:p>
    <w:p w14:paraId="319C25FE">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ascii="Times New Roman" w:hAnsi="Times New Roman" w:eastAsia="仿宋_GB2312"/>
          <w:sz w:val="32"/>
          <w:szCs w:val="32"/>
        </w:rPr>
        <w:t>第三方审计机构在审计项目实际销售情况时应合理界定三个方面的主要内容：一是各项费用是否属于本项目核算范围；二是确认每项费用的财务记账是否规范；三是确认费用是否符合申报文件相关规定要求。如果某项费用不符合上述三个方面的任一要求都不应将其纳入核算范围。在审计工作中，应注意以下要点：</w:t>
      </w:r>
    </w:p>
    <w:p w14:paraId="7A1E12FE">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ascii="Times New Roman" w:hAnsi="Times New Roman" w:eastAsia="仿宋_GB2312"/>
          <w:sz w:val="32"/>
          <w:szCs w:val="32"/>
        </w:rPr>
        <w:t>1.审计机构对审计的销售内容须核对凭证原件，现场查验项目相对应的网银转账记录。如销售发票为电子发票，除要求企业提供“</w:t>
      </w:r>
      <w:r>
        <w:rPr>
          <w:rFonts w:ascii="Times New Roman" w:hAnsi="Times New Roman" w:eastAsia="仿宋_GB2312"/>
          <w:b/>
          <w:sz w:val="32"/>
          <w:szCs w:val="32"/>
        </w:rPr>
        <w:t>****电子发票在申报</w:t>
      </w:r>
      <w:r>
        <w:rPr>
          <w:rFonts w:hint="eastAsia" w:ascii="Times New Roman" w:hAnsi="Times New Roman" w:eastAsia="仿宋_GB2312"/>
          <w:b/>
          <w:sz w:val="32"/>
          <w:szCs w:val="32"/>
          <w:lang w:eastAsia="zh-CN"/>
        </w:rPr>
        <w:t>202</w:t>
      </w:r>
      <w:r>
        <w:rPr>
          <w:rFonts w:hint="eastAsia" w:ascii="Times New Roman" w:hAnsi="Times New Roman" w:eastAsia="仿宋_GB2312"/>
          <w:b/>
          <w:sz w:val="32"/>
          <w:szCs w:val="32"/>
          <w:lang w:val="en-US" w:eastAsia="zh-CN"/>
        </w:rPr>
        <w:t>7</w:t>
      </w:r>
      <w:r>
        <w:rPr>
          <w:rFonts w:hint="eastAsia" w:ascii="Times New Roman" w:hAnsi="Times New Roman" w:eastAsia="仿宋_GB2312"/>
          <w:b/>
          <w:sz w:val="32"/>
          <w:szCs w:val="32"/>
          <w:lang w:eastAsia="zh-CN"/>
        </w:rPr>
        <w:t>年省级制造业当家重点任务保障专项资金</w:t>
      </w:r>
      <w:r>
        <w:rPr>
          <w:rFonts w:hint="eastAsia" w:ascii="Times New Roman" w:hAnsi="Times New Roman" w:eastAsia="仿宋_GB2312"/>
          <w:b/>
          <w:sz w:val="32"/>
          <w:szCs w:val="32"/>
        </w:rPr>
        <w:t>首台（套）重大技术装备研制与推广应用项目入库储备</w:t>
      </w:r>
      <w:r>
        <w:rPr>
          <w:rFonts w:ascii="Times New Roman" w:hAnsi="Times New Roman" w:eastAsia="仿宋_GB2312"/>
          <w:b/>
          <w:sz w:val="32"/>
          <w:szCs w:val="32"/>
        </w:rPr>
        <w:t>前，未申报其他财政专项</w:t>
      </w:r>
      <w:r>
        <w:rPr>
          <w:rFonts w:ascii="Times New Roman" w:hAnsi="Times New Roman" w:eastAsia="仿宋_GB2312"/>
          <w:b/>
          <w:sz w:val="31"/>
          <w:szCs w:val="31"/>
        </w:rPr>
        <w:t>资金”</w:t>
      </w:r>
      <w:r>
        <w:rPr>
          <w:rFonts w:ascii="Times New Roman" w:hAnsi="Times New Roman" w:eastAsia="仿宋_GB2312"/>
          <w:sz w:val="32"/>
          <w:szCs w:val="32"/>
        </w:rPr>
        <w:t>书面承诺</w:t>
      </w:r>
      <w:r>
        <w:rPr>
          <w:rFonts w:ascii="Times New Roman" w:hAnsi="Times New Roman" w:eastAsia="仿宋_GB2312"/>
          <w:sz w:val="31"/>
          <w:szCs w:val="31"/>
        </w:rPr>
        <w:t>外，各事务所</w:t>
      </w:r>
      <w:r>
        <w:rPr>
          <w:rFonts w:ascii="Times New Roman" w:hAnsi="Times New Roman" w:eastAsia="仿宋_GB2312"/>
          <w:sz w:val="32"/>
          <w:szCs w:val="32"/>
        </w:rPr>
        <w:t>须以企业名称命名独立文件夹保存发票电子档。</w:t>
      </w:r>
    </w:p>
    <w:p w14:paraId="6222C7F8">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ascii="Times New Roman" w:hAnsi="Times New Roman" w:eastAsia="仿宋_GB2312"/>
          <w:sz w:val="32"/>
          <w:szCs w:val="32"/>
        </w:rPr>
        <w:t>2.审计机构对项目申报单位所</w:t>
      </w:r>
      <w:r>
        <w:rPr>
          <w:rFonts w:hint="eastAsia" w:ascii="Times New Roman" w:hAnsi="Times New Roman" w:eastAsia="仿宋_GB2312"/>
          <w:sz w:val="32"/>
          <w:szCs w:val="32"/>
          <w:lang w:eastAsia="zh-CN"/>
        </w:rPr>
        <w:t>提交的项目销售合同、发票、收款凭证等内容</w:t>
      </w:r>
      <w:r>
        <w:rPr>
          <w:rFonts w:ascii="Times New Roman" w:hAnsi="Times New Roman" w:eastAsia="仿宋_GB2312"/>
          <w:sz w:val="32"/>
          <w:szCs w:val="32"/>
        </w:rPr>
        <w:t>进行鉴别，</w:t>
      </w:r>
      <w:r>
        <w:rPr>
          <w:rFonts w:ascii="Times New Roman" w:hAnsi="Times New Roman" w:eastAsia="仿宋_GB2312"/>
          <w:b/>
          <w:sz w:val="32"/>
          <w:szCs w:val="32"/>
        </w:rPr>
        <w:t>必须控制在市工信局派发的水印书面申报资料的范围内</w:t>
      </w:r>
      <w:r>
        <w:rPr>
          <w:rFonts w:ascii="Times New Roman" w:hAnsi="Times New Roman" w:eastAsia="仿宋_GB2312"/>
          <w:sz w:val="32"/>
          <w:szCs w:val="32"/>
        </w:rPr>
        <w:t>。</w:t>
      </w:r>
    </w:p>
    <w:p w14:paraId="2EEBDE08">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.关于产品销售价格是指产品</w:t>
      </w:r>
      <w:r>
        <w:rPr>
          <w:rFonts w:hint="eastAsia" w:ascii="Times New Roman" w:hAnsi="Times New Roman" w:eastAsia="仿宋_GB2312"/>
          <w:sz w:val="32"/>
          <w:szCs w:val="32"/>
          <w:lang w:val="en-US" w:eastAsia="zh-CN"/>
        </w:rPr>
        <w:t>不</w:t>
      </w:r>
      <w:r>
        <w:rPr>
          <w:rFonts w:ascii="Times New Roman" w:hAnsi="Times New Roman" w:eastAsia="仿宋_GB2312"/>
          <w:sz w:val="32"/>
          <w:szCs w:val="32"/>
        </w:rPr>
        <w:t>含税的销售价格</w:t>
      </w:r>
      <w:r>
        <w:rPr>
          <w:rFonts w:hint="eastAsia" w:ascii="Times New Roman" w:hAnsi="Times New Roman" w:eastAsia="仿宋_GB2312"/>
          <w:sz w:val="32"/>
          <w:szCs w:val="32"/>
          <w:lang w:eastAsia="zh-CN"/>
        </w:rPr>
        <w:t>。</w:t>
      </w:r>
    </w:p>
    <w:p w14:paraId="4C675E8D">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.关于核定产品的销售总额要求增值税发票、</w:t>
      </w:r>
      <w:r>
        <w:rPr>
          <w:rFonts w:ascii="Times New Roman" w:hAnsi="Times New Roman" w:eastAsia="仿宋_GB2312"/>
          <w:color w:val="000000" w:themeColor="text1"/>
          <w:sz w:val="32"/>
          <w:szCs w:val="32"/>
          <w14:textFill>
            <w14:solidFill>
              <w14:schemeClr w14:val="tx1"/>
            </w14:solidFill>
          </w14:textFill>
        </w:rPr>
        <w:t>银行到账</w:t>
      </w:r>
      <w:r>
        <w:rPr>
          <w:rFonts w:ascii="Times New Roman" w:hAnsi="Times New Roman" w:eastAsia="仿宋_GB2312"/>
          <w:sz w:val="32"/>
          <w:szCs w:val="32"/>
        </w:rPr>
        <w:t>凭证、</w:t>
      </w:r>
      <w:r>
        <w:rPr>
          <w:rFonts w:hint="eastAsia" w:ascii="Times New Roman" w:hAnsi="Times New Roman" w:eastAsia="仿宋_GB2312"/>
          <w:sz w:val="32"/>
          <w:szCs w:val="32"/>
        </w:rPr>
        <w:t>银行承兑汇票、商业承兑汇票、</w:t>
      </w:r>
      <w:r>
        <w:rPr>
          <w:rFonts w:ascii="Times New Roman" w:hAnsi="Times New Roman" w:eastAsia="仿宋_GB2312"/>
          <w:sz w:val="32"/>
          <w:szCs w:val="32"/>
        </w:rPr>
        <w:t>发货交付凭证、验收</w:t>
      </w:r>
      <w:r>
        <w:rPr>
          <w:rFonts w:ascii="Times New Roman" w:hAnsi="Times New Roman" w:eastAsia="仿宋_GB2312"/>
          <w:color w:val="000000" w:themeColor="text1"/>
          <w:sz w:val="32"/>
          <w:szCs w:val="32"/>
          <w14:textFill>
            <w14:solidFill>
              <w14:schemeClr w14:val="tx1"/>
            </w14:solidFill>
          </w14:textFill>
        </w:rPr>
        <w:t>报告、实际用户使用报告</w:t>
      </w:r>
      <w:r>
        <w:rPr>
          <w:rFonts w:ascii="Times New Roman" w:hAnsi="Times New Roman" w:eastAsia="仿宋_GB2312"/>
          <w:sz w:val="32"/>
          <w:szCs w:val="32"/>
        </w:rPr>
        <w:t>在</w:t>
      </w:r>
      <w:r>
        <w:rPr>
          <w:rFonts w:hint="eastAsia" w:ascii="Times New Roman" w:hAnsi="Times New Roman" w:eastAsia="仿宋_GB2312"/>
          <w:sz w:val="32"/>
          <w:szCs w:val="32"/>
          <w:lang w:val="en-US" w:eastAsia="zh-CN"/>
        </w:rPr>
        <w:t>2024</w:t>
      </w:r>
      <w:bookmarkStart w:id="0" w:name="_GoBack"/>
      <w:bookmarkEnd w:id="0"/>
      <w:r>
        <w:rPr>
          <w:rFonts w:hint="eastAsia" w:ascii="Times New Roman" w:hAnsi="Times New Roman" w:eastAsia="仿宋_GB2312"/>
          <w:sz w:val="32"/>
          <w:szCs w:val="32"/>
          <w:lang w:val="en-US" w:eastAsia="zh-CN"/>
        </w:rPr>
        <w:t>年6月7日-</w:t>
      </w:r>
      <w:r>
        <w:rPr>
          <w:rFonts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6</w:t>
      </w:r>
      <w:r>
        <w:rPr>
          <w:rFonts w:ascii="Times New Roman" w:hAnsi="Times New Roman" w:eastAsia="仿宋_GB2312"/>
          <w:color w:val="000000" w:themeColor="text1"/>
          <w:sz w:val="32"/>
          <w:szCs w:val="32"/>
          <w14:textFill>
            <w14:solidFill>
              <w14:schemeClr w14:val="tx1"/>
            </w14:solidFill>
          </w14:textFill>
        </w:rPr>
        <w:t>年</w:t>
      </w:r>
      <w:r>
        <w:rPr>
          <w:rFonts w:hint="eastAsia" w:ascii="Times New Roman" w:hAnsi="Times New Roman" w:eastAsia="仿宋_GB2312"/>
          <w:color w:val="000000" w:themeColor="text1"/>
          <w:sz w:val="32"/>
          <w:szCs w:val="32"/>
          <w:lang w:val="en-US" w:eastAsia="zh-CN"/>
          <w14:textFill>
            <w14:solidFill>
              <w14:schemeClr w14:val="tx1"/>
            </w14:solidFill>
          </w14:textFill>
        </w:rPr>
        <w:t>7</w:t>
      </w:r>
      <w:r>
        <w:rPr>
          <w:rFonts w:ascii="Times New Roman" w:hAnsi="Times New Roman" w:eastAsia="仿宋_GB2312"/>
          <w:color w:val="000000" w:themeColor="text1"/>
          <w:sz w:val="32"/>
          <w:szCs w:val="32"/>
          <w14:textFill>
            <w14:solidFill>
              <w14:schemeClr w14:val="tx1"/>
            </w14:solidFill>
          </w14:textFill>
        </w:rPr>
        <w:t>月</w:t>
      </w:r>
      <w:r>
        <w:rPr>
          <w:rFonts w:hint="eastAsia" w:ascii="Times New Roman" w:hAnsi="Times New Roman" w:eastAsia="仿宋_GB2312"/>
          <w:color w:val="000000" w:themeColor="text1"/>
          <w:sz w:val="32"/>
          <w:szCs w:val="32"/>
          <w:lang w:val="en-US" w:eastAsia="zh-CN"/>
          <w14:textFill>
            <w14:solidFill>
              <w14:schemeClr w14:val="tx1"/>
            </w14:solidFill>
          </w14:textFill>
        </w:rPr>
        <w:t>10</w:t>
      </w:r>
      <w:r>
        <w:rPr>
          <w:rFonts w:ascii="Times New Roman" w:hAnsi="Times New Roman" w:eastAsia="仿宋_GB2312"/>
          <w:color w:val="000000" w:themeColor="text1"/>
          <w:sz w:val="32"/>
          <w:szCs w:val="32"/>
          <w14:textFill>
            <w14:solidFill>
              <w14:schemeClr w14:val="tx1"/>
            </w14:solidFill>
          </w14:textFill>
        </w:rPr>
        <w:t>日</w:t>
      </w:r>
      <w:r>
        <w:rPr>
          <w:rFonts w:hint="eastAsia" w:ascii="Times New Roman" w:hAnsi="Times New Roman" w:eastAsia="仿宋_GB2312"/>
          <w:color w:val="000000" w:themeColor="text1"/>
          <w:sz w:val="32"/>
          <w:szCs w:val="32"/>
          <w:lang w:eastAsia="zh-CN"/>
          <w14:textFill>
            <w14:solidFill>
              <w14:schemeClr w14:val="tx1"/>
            </w14:solidFill>
          </w14:textFill>
        </w:rPr>
        <w:t>间</w:t>
      </w:r>
      <w:r>
        <w:rPr>
          <w:rFonts w:ascii="Times New Roman" w:hAnsi="Times New Roman" w:eastAsia="仿宋_GB2312"/>
          <w:sz w:val="32"/>
          <w:szCs w:val="32"/>
        </w:rPr>
        <w:t>开具，未到账但已开具发票的部分予以扣除，企业收取货款为期票可纳入计算范围。</w:t>
      </w:r>
    </w:p>
    <w:p w14:paraId="201DA065">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.现金和个人付款不纳入计算范围。</w:t>
      </w:r>
    </w:p>
    <w:p w14:paraId="13CF09BC">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w:t>
      </w:r>
      <w:r>
        <w:rPr>
          <w:rFonts w:hint="eastAsia" w:eastAsia="仿宋_GB2312"/>
          <w:sz w:val="32"/>
          <w:szCs w:val="32"/>
          <w:lang w:eastAsia="zh-CN"/>
        </w:rPr>
        <w:t>银行到账凭证、银行承兑汇票予以直接纳入计算范围。</w:t>
      </w:r>
      <w:r>
        <w:rPr>
          <w:rFonts w:hint="eastAsia" w:ascii="Times New Roman" w:hAnsi="Times New Roman" w:eastAsia="仿宋_GB2312"/>
          <w:sz w:val="32"/>
          <w:szCs w:val="32"/>
          <w:lang w:eastAsia="zh-CN"/>
        </w:rPr>
        <w:t>商业承兑汇票必须是已兑现或已转出，如果是转出的，必须同时提供承兑汇票的背书内容复印件；如果是以办理保理业务取得的收款，不纳入计算范围。</w:t>
      </w:r>
    </w:p>
    <w:p w14:paraId="3D355058">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ascii="Times New Roman" w:hAnsi="Times New Roman" w:eastAsia="仿宋_GB2312"/>
          <w:sz w:val="32"/>
          <w:szCs w:val="32"/>
        </w:rPr>
        <w:t>.</w:t>
      </w:r>
      <w:r>
        <w:rPr>
          <w:rFonts w:hint="default" w:ascii="Times New Roman" w:hAnsi="Times New Roman" w:eastAsia="仿宋_GB2312" w:cs="Times New Roman"/>
          <w:color w:val="auto"/>
          <w:sz w:val="32"/>
          <w:szCs w:val="32"/>
          <w:lang w:val="en-US" w:eastAsia="zh-CN"/>
        </w:rPr>
        <w:t>申报产品</w:t>
      </w:r>
      <w:r>
        <w:rPr>
          <w:rFonts w:hint="eastAsia" w:eastAsia="仿宋_GB2312" w:cs="Times New Roman"/>
          <w:color w:val="auto"/>
          <w:sz w:val="32"/>
          <w:szCs w:val="32"/>
          <w:lang w:val="en-US" w:eastAsia="zh-CN"/>
        </w:rPr>
        <w:t>不得存在关联交易，</w:t>
      </w:r>
      <w:r>
        <w:rPr>
          <w:rFonts w:hint="default" w:ascii="Times New Roman" w:hAnsi="Times New Roman" w:eastAsia="仿宋_GB2312" w:cs="Times New Roman"/>
          <w:strike w:val="0"/>
          <w:color w:val="auto"/>
          <w:sz w:val="32"/>
          <w:szCs w:val="32"/>
        </w:rPr>
        <w:t>不</w:t>
      </w:r>
      <w:r>
        <w:rPr>
          <w:rFonts w:hint="default" w:ascii="Times New Roman" w:hAnsi="Times New Roman" w:eastAsia="仿宋_GB2312" w:cs="Times New Roman"/>
          <w:color w:val="auto"/>
          <w:sz w:val="32"/>
          <w:szCs w:val="32"/>
        </w:rPr>
        <w:t>得虚报产品价格，并签署价格真实性承诺函。</w:t>
      </w:r>
    </w:p>
    <w:p w14:paraId="66FD1679">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ascii="Times New Roman" w:hAnsi="Times New Roman" w:eastAsia="仿宋_GB2312"/>
          <w:sz w:val="32"/>
          <w:szCs w:val="32"/>
        </w:rPr>
        <w:t>.结算金额如为外汇，应换算成为人民币。</w:t>
      </w:r>
    </w:p>
    <w:p w14:paraId="7D7F9AF8">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color w:val="auto"/>
          <w:sz w:val="32"/>
          <w:szCs w:val="32"/>
          <w:lang w:val="en-US" w:eastAsia="zh-CN"/>
        </w:rPr>
        <w:t>9.须对申报产品销售情况进行银行函证或银行出具其他证明材料。</w:t>
      </w:r>
    </w:p>
    <w:p w14:paraId="019EE22E">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p>
    <w:p w14:paraId="3E19E92C">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ascii="Times New Roman" w:hAnsi="Times New Roman" w:eastAsia="仿宋_GB2312"/>
          <w:sz w:val="32"/>
          <w:szCs w:val="32"/>
        </w:rPr>
        <w:t>附件：审计报告模板</w:t>
      </w:r>
    </w:p>
    <w:p w14:paraId="44BF9B9F">
      <w:pPr>
        <w:keepNext w:val="0"/>
        <w:keepLines w:val="0"/>
        <w:pageBreakBefore w:val="0"/>
        <w:widowControl w:val="0"/>
        <w:kinsoku/>
        <w:wordWrap/>
        <w:overflowPunct/>
        <w:topLinePunct w:val="0"/>
        <w:autoSpaceDE/>
        <w:autoSpaceDN/>
        <w:bidi w:val="0"/>
        <w:adjustRightInd/>
        <w:snapToGrid/>
        <w:spacing w:line="640" w:lineRule="exact"/>
        <w:ind w:firstLine="646" w:firstLineChars="200"/>
        <w:textAlignment w:val="auto"/>
        <w:rPr>
          <w:rFonts w:ascii="Times New Roman" w:hAnsi="Times New Roman" w:eastAsia="仿宋_GB2312"/>
          <w:sz w:val="32"/>
          <w:szCs w:val="32"/>
        </w:rPr>
      </w:pPr>
      <w:r>
        <w:rPr>
          <w:rFonts w:ascii="Times New Roman" w:hAnsi="Times New Roman" w:eastAsia="仿宋_GB2312"/>
          <w:sz w:val="32"/>
          <w:szCs w:val="32"/>
        </w:rPr>
        <w:br w:type="page"/>
      </w:r>
    </w:p>
    <w:p w14:paraId="6C84BC5D">
      <w:pPr>
        <w:widowControl/>
        <w:jc w:val="left"/>
        <w:rPr>
          <w:rFonts w:ascii="Times New Roman" w:hAnsi="Times New Roman" w:eastAsia="黑体"/>
          <w:sz w:val="32"/>
          <w:szCs w:val="32"/>
        </w:rPr>
      </w:pPr>
      <w:r>
        <w:rPr>
          <w:rFonts w:ascii="Times New Roman" w:hAnsi="Times New Roman" w:eastAsia="黑体"/>
          <w:sz w:val="32"/>
          <w:szCs w:val="32"/>
        </w:rPr>
        <w:t>附件</w:t>
      </w:r>
    </w:p>
    <w:p w14:paraId="6F71D6BA">
      <w:pPr>
        <w:spacing w:line="520" w:lineRule="exact"/>
        <w:jc w:val="center"/>
        <w:rPr>
          <w:rFonts w:ascii="Times New Roman" w:hAnsi="Times New Roman" w:eastAsia="黑体"/>
          <w:sz w:val="36"/>
          <w:szCs w:val="36"/>
        </w:rPr>
      </w:pPr>
      <w:r>
        <w:rPr>
          <w:rFonts w:hint="eastAsia" w:ascii="Times New Roman" w:hAnsi="Times New Roman" w:eastAsia="黑体"/>
          <w:sz w:val="36"/>
          <w:szCs w:val="36"/>
          <w:lang w:eastAsia="zh-CN"/>
        </w:rPr>
        <w:t>202</w:t>
      </w:r>
      <w:r>
        <w:rPr>
          <w:rFonts w:hint="eastAsia" w:ascii="Times New Roman" w:hAnsi="Times New Roman" w:eastAsia="黑体"/>
          <w:sz w:val="36"/>
          <w:szCs w:val="36"/>
          <w:lang w:val="en-US" w:eastAsia="zh-CN"/>
        </w:rPr>
        <w:t>7</w:t>
      </w:r>
      <w:r>
        <w:rPr>
          <w:rFonts w:hint="eastAsia" w:ascii="Times New Roman" w:hAnsi="Times New Roman" w:eastAsia="黑体"/>
          <w:sz w:val="36"/>
          <w:szCs w:val="36"/>
          <w:lang w:eastAsia="zh-CN"/>
        </w:rPr>
        <w:t>年省级制造业当家重点任务保障专项资金</w:t>
      </w:r>
      <w:r>
        <w:rPr>
          <w:rFonts w:hint="eastAsia" w:ascii="Times New Roman" w:hAnsi="Times New Roman" w:eastAsia="黑体"/>
          <w:sz w:val="36"/>
          <w:szCs w:val="36"/>
        </w:rPr>
        <w:t>首台（套）重大技术装备研制与推广应用项目入库储备</w:t>
      </w:r>
      <w:r>
        <w:rPr>
          <w:rFonts w:ascii="Times New Roman" w:hAnsi="Times New Roman" w:eastAsia="黑体"/>
          <w:sz w:val="36"/>
          <w:szCs w:val="36"/>
        </w:rPr>
        <w:t>****公司****（产品名称）销售</w:t>
      </w:r>
      <w:r>
        <w:rPr>
          <w:rFonts w:hint="eastAsia" w:ascii="Times New Roman" w:hAnsi="Times New Roman" w:eastAsia="黑体"/>
          <w:sz w:val="36"/>
          <w:szCs w:val="36"/>
          <w:lang w:eastAsia="zh-CN"/>
        </w:rPr>
        <w:t>价格</w:t>
      </w:r>
      <w:r>
        <w:rPr>
          <w:rFonts w:ascii="Times New Roman" w:hAnsi="Times New Roman" w:eastAsia="黑体"/>
          <w:sz w:val="36"/>
          <w:szCs w:val="36"/>
        </w:rPr>
        <w:t>审计报告（样式）</w:t>
      </w:r>
    </w:p>
    <w:p w14:paraId="116456F3">
      <w:pPr>
        <w:spacing w:line="520" w:lineRule="exact"/>
        <w:ind w:firstLine="726" w:firstLineChars="200"/>
        <w:jc w:val="center"/>
        <w:rPr>
          <w:rFonts w:ascii="Times New Roman" w:hAnsi="Times New Roman" w:eastAsia="黑体"/>
          <w:sz w:val="36"/>
          <w:szCs w:val="36"/>
        </w:rPr>
      </w:pPr>
    </w:p>
    <w:p w14:paraId="1DFEE9CB">
      <w:pPr>
        <w:spacing w:line="520" w:lineRule="exact"/>
        <w:ind w:firstLine="566" w:firstLineChars="200"/>
        <w:jc w:val="right"/>
        <w:rPr>
          <w:rFonts w:ascii="Times New Roman" w:hAnsi="Times New Roman" w:eastAsia="仿宋_GB2312"/>
          <w:sz w:val="28"/>
          <w:szCs w:val="28"/>
        </w:rPr>
      </w:pPr>
      <w:r>
        <w:rPr>
          <w:rFonts w:ascii="Times New Roman" w:hAnsi="Times New Roman" w:eastAsia="仿宋_GB2312"/>
          <w:sz w:val="28"/>
          <w:szCs w:val="28"/>
        </w:rPr>
        <w:t>****审字[****]第****号</w:t>
      </w:r>
    </w:p>
    <w:p w14:paraId="7F9B3150">
      <w:pPr>
        <w:spacing w:line="520" w:lineRule="exact"/>
        <w:rPr>
          <w:rFonts w:ascii="Times New Roman" w:hAnsi="Times New Roman" w:eastAsia="仿宋_GB2312"/>
          <w:sz w:val="28"/>
          <w:szCs w:val="28"/>
        </w:rPr>
      </w:pPr>
      <w:r>
        <w:rPr>
          <w:rFonts w:ascii="Times New Roman" w:hAnsi="Times New Roman" w:eastAsia="仿宋_GB2312"/>
          <w:sz w:val="28"/>
          <w:szCs w:val="28"/>
        </w:rPr>
        <w:t>东莞市工业和信息化局：</w:t>
      </w:r>
    </w:p>
    <w:p w14:paraId="471A5C1D">
      <w:pPr>
        <w:spacing w:line="520" w:lineRule="exact"/>
        <w:ind w:firstLine="566" w:firstLineChars="200"/>
        <w:rPr>
          <w:rFonts w:ascii="Times New Roman" w:hAnsi="Times New Roman" w:eastAsia="仿宋_GB2312"/>
          <w:sz w:val="28"/>
          <w:szCs w:val="28"/>
        </w:rPr>
      </w:pPr>
      <w:r>
        <w:rPr>
          <w:rFonts w:ascii="Times New Roman" w:hAnsi="Times New Roman" w:eastAsia="仿宋_GB2312"/>
          <w:sz w:val="28"/>
          <w:szCs w:val="28"/>
        </w:rPr>
        <w:t>我们接受委托，对****公司（企业名称）申报</w:t>
      </w:r>
      <w:r>
        <w:rPr>
          <w:rFonts w:hint="eastAsia" w:ascii="Times New Roman" w:hAnsi="Times New Roman" w:eastAsia="仿宋_GB2312"/>
          <w:sz w:val="28"/>
          <w:szCs w:val="28"/>
          <w:lang w:eastAsia="zh-CN"/>
        </w:rPr>
        <w:t>202</w:t>
      </w:r>
      <w:r>
        <w:rPr>
          <w:rFonts w:hint="eastAsia" w:ascii="Times New Roman" w:hAnsi="Times New Roman" w:eastAsia="仿宋_GB2312"/>
          <w:sz w:val="28"/>
          <w:szCs w:val="28"/>
          <w:lang w:val="en-US" w:eastAsia="zh-CN"/>
        </w:rPr>
        <w:t>7</w:t>
      </w:r>
      <w:r>
        <w:rPr>
          <w:rFonts w:hint="eastAsia" w:ascii="Times New Roman" w:hAnsi="Times New Roman" w:eastAsia="仿宋_GB2312"/>
          <w:sz w:val="28"/>
          <w:szCs w:val="28"/>
          <w:lang w:eastAsia="zh-CN"/>
        </w:rPr>
        <w:t>年省级制造业当家重点任务保障专项资金</w:t>
      </w:r>
      <w:r>
        <w:rPr>
          <w:rFonts w:hint="eastAsia" w:ascii="Times New Roman" w:hAnsi="Times New Roman" w:eastAsia="仿宋_GB2312"/>
          <w:sz w:val="28"/>
          <w:szCs w:val="28"/>
        </w:rPr>
        <w:t>首台（套）重大技术装备研制与推广应用项目入库储备</w:t>
      </w:r>
      <w:r>
        <w:rPr>
          <w:rFonts w:ascii="Times New Roman" w:hAnsi="Times New Roman" w:eastAsia="仿宋_GB2312"/>
          <w:sz w:val="28"/>
          <w:szCs w:val="28"/>
        </w:rPr>
        <w:t>的****（产品名称）实际销售</w:t>
      </w:r>
      <w:r>
        <w:rPr>
          <w:rFonts w:hint="eastAsia" w:ascii="Times New Roman" w:hAnsi="Times New Roman" w:eastAsia="仿宋_GB2312"/>
          <w:sz w:val="28"/>
          <w:szCs w:val="28"/>
          <w:lang w:eastAsia="zh-CN"/>
        </w:rPr>
        <w:t>价格</w:t>
      </w:r>
      <w:r>
        <w:rPr>
          <w:rFonts w:ascii="Times New Roman" w:hAnsi="Times New Roman" w:eastAsia="仿宋_GB2312"/>
          <w:sz w:val="28"/>
          <w:szCs w:val="28"/>
        </w:rPr>
        <w:t>进行了现场专项审计。</w:t>
      </w:r>
    </w:p>
    <w:p w14:paraId="4528A071">
      <w:pPr>
        <w:spacing w:line="520" w:lineRule="exact"/>
        <w:ind w:firstLine="566" w:firstLineChars="200"/>
        <w:rPr>
          <w:rFonts w:ascii="Times New Roman" w:hAnsi="Times New Roman" w:eastAsia="仿宋_GB2312"/>
          <w:sz w:val="28"/>
          <w:szCs w:val="28"/>
        </w:rPr>
      </w:pPr>
      <w:r>
        <w:rPr>
          <w:rFonts w:ascii="Times New Roman" w:hAnsi="Times New Roman" w:eastAsia="仿宋_GB2312"/>
          <w:sz w:val="28"/>
          <w:szCs w:val="28"/>
        </w:rPr>
        <w:t>****公司的责任是提供真实、合法、完整的审计资料，并对相关资料提供过程实施内部控制，以使资料不存在由于舞弊或错误而导致重大错报。</w:t>
      </w:r>
    </w:p>
    <w:p w14:paraId="3F743AB1">
      <w:pPr>
        <w:spacing w:line="520" w:lineRule="exact"/>
        <w:ind w:firstLine="566" w:firstLineChars="200"/>
        <w:rPr>
          <w:rFonts w:ascii="Times New Roman" w:hAnsi="Times New Roman" w:eastAsia="仿宋_GB2312"/>
          <w:sz w:val="28"/>
          <w:szCs w:val="28"/>
        </w:rPr>
      </w:pPr>
      <w:r>
        <w:rPr>
          <w:rFonts w:ascii="Times New Roman" w:hAnsi="Times New Roman" w:eastAsia="仿宋_GB2312"/>
          <w:sz w:val="28"/>
          <w:szCs w:val="28"/>
        </w:rPr>
        <w:t>我们的责任是在实施审计工作基础上，对****（产品名称）的</w:t>
      </w:r>
      <w:r>
        <w:rPr>
          <w:rFonts w:ascii="Times New Roman" w:hAnsi="Times New Roman" w:eastAsia="仿宋_GB2312" w:cs="Times New Roman"/>
          <w:sz w:val="28"/>
          <w:szCs w:val="28"/>
        </w:rPr>
        <w:t>实际销售收入发表审计意见。我们的审计是按照中国注册会计师相关服务准则、</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广东省省级财政专项资金管理办法（2025年修订）</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（粤府〔2025〕56号）</w:t>
      </w:r>
      <w:r>
        <w:rPr>
          <w:rFonts w:hint="eastAsia" w:ascii="Times New Roman" w:hAnsi="Times New Roman" w:eastAsia="仿宋_GB2312" w:cs="Times New Roman"/>
          <w:sz w:val="28"/>
          <w:szCs w:val="28"/>
          <w:lang w:val="en-US" w:eastAsia="zh-CN"/>
        </w:rPr>
        <w:t>《广东省工业和信息化厅关于开展省级制造业当家重点任务保障专项资金首台（套）重大技术装备研制与推广应用项目入库储备工作的通知》（粤工信装备函〔2026〕51号）</w:t>
      </w:r>
      <w:r>
        <w:rPr>
          <w:rFonts w:ascii="Times New Roman" w:hAnsi="Times New Roman" w:eastAsia="仿宋_GB2312" w:cs="Times New Roman"/>
          <w:sz w:val="28"/>
          <w:szCs w:val="28"/>
        </w:rPr>
        <w:t>等有关规定进行的。在审计过程中，我们结合**公司的实际情况，实施了</w:t>
      </w:r>
      <w:r>
        <w:rPr>
          <w:rFonts w:ascii="Times New Roman" w:hAnsi="Times New Roman" w:eastAsia="仿宋_GB2312"/>
          <w:sz w:val="28"/>
          <w:szCs w:val="28"/>
        </w:rPr>
        <w:t>包括核查相关账簿及原始票据、凭证，详查会计记录、网银转账记录等我们认为必要的审计程序，我们相信：我们获取的审计证据是充分的、适当的，现将审计情况报告如下：</w:t>
      </w:r>
    </w:p>
    <w:p w14:paraId="1FFC1349">
      <w:pPr>
        <w:spacing w:line="520" w:lineRule="exact"/>
        <w:ind w:firstLine="566" w:firstLineChars="200"/>
        <w:rPr>
          <w:rFonts w:ascii="Times New Roman" w:hAnsi="Times New Roman" w:eastAsia="仿宋_GB2312"/>
          <w:b/>
          <w:sz w:val="28"/>
          <w:szCs w:val="28"/>
        </w:rPr>
      </w:pPr>
      <w:r>
        <w:rPr>
          <w:rFonts w:ascii="Times New Roman" w:hAnsi="Times New Roman" w:eastAsia="仿宋_GB2312"/>
          <w:b/>
          <w:sz w:val="28"/>
          <w:szCs w:val="28"/>
        </w:rPr>
        <w:t>一、企业基本情况</w:t>
      </w:r>
    </w:p>
    <w:p w14:paraId="7439203C">
      <w:pPr>
        <w:spacing w:line="520" w:lineRule="exact"/>
        <w:ind w:firstLine="566" w:firstLineChars="200"/>
        <w:rPr>
          <w:rFonts w:ascii="Times New Roman" w:hAnsi="Times New Roman" w:eastAsia="仿宋_GB2312"/>
          <w:sz w:val="28"/>
          <w:szCs w:val="28"/>
        </w:rPr>
      </w:pPr>
      <w:r>
        <w:rPr>
          <w:rFonts w:ascii="Times New Roman" w:hAnsi="Times New Roman" w:eastAsia="仿宋_GB2312"/>
          <w:sz w:val="28"/>
          <w:szCs w:val="28"/>
        </w:rPr>
        <w:t>****公司系****年**月**日注册成立的有限责任公司（或有限公司），由****工商行政管理局颁发企业法人营业执照，注册号***********；注册资本：人民币*****万元；法定代表人：*****；公司住所：***************。公司经营范围：*****。</w:t>
      </w:r>
    </w:p>
    <w:p w14:paraId="3760DF99">
      <w:pPr>
        <w:spacing w:line="520" w:lineRule="exact"/>
        <w:ind w:firstLine="566" w:firstLineChars="200"/>
        <w:rPr>
          <w:rFonts w:ascii="Times New Roman" w:hAnsi="Times New Roman" w:eastAsia="仿宋_GB2312"/>
          <w:sz w:val="28"/>
          <w:szCs w:val="28"/>
          <w:u w:val="single"/>
        </w:rPr>
      </w:pPr>
      <w:r>
        <w:rPr>
          <w:rFonts w:ascii="Times New Roman" w:hAnsi="Times New Roman" w:eastAsia="仿宋_GB2312"/>
          <w:sz w:val="28"/>
          <w:szCs w:val="28"/>
          <w:u w:val="single"/>
        </w:rPr>
        <w:t>（如企业名称涉及变更的，应在此处说明变更和工商局核准情况）</w:t>
      </w:r>
    </w:p>
    <w:p w14:paraId="056C87D5">
      <w:pPr>
        <w:adjustRightInd w:val="0"/>
        <w:snapToGrid w:val="0"/>
        <w:spacing w:line="520" w:lineRule="exact"/>
        <w:ind w:firstLine="566" w:firstLineChars="200"/>
        <w:rPr>
          <w:rFonts w:ascii="Times New Roman" w:hAnsi="Times New Roman" w:eastAsia="仿宋_GB2312"/>
          <w:b/>
          <w:kern w:val="32"/>
          <w:sz w:val="28"/>
          <w:szCs w:val="28"/>
        </w:rPr>
      </w:pPr>
      <w:r>
        <w:rPr>
          <w:rFonts w:ascii="Times New Roman" w:hAnsi="Times New Roman" w:eastAsia="仿宋_GB2312"/>
          <w:b/>
          <w:kern w:val="0"/>
          <w:sz w:val="28"/>
          <w:szCs w:val="28"/>
          <w:lang w:val="zh-CN"/>
        </w:rPr>
        <w:t>二、审计目的和范围</w:t>
      </w:r>
    </w:p>
    <w:p w14:paraId="1DC08EA3">
      <w:pPr>
        <w:adjustRightInd w:val="0"/>
        <w:snapToGrid w:val="0"/>
        <w:spacing w:line="520" w:lineRule="exact"/>
        <w:ind w:firstLine="566" w:firstLineChars="200"/>
        <w:rPr>
          <w:rFonts w:ascii="Times New Roman" w:hAnsi="Times New Roman" w:eastAsia="仿宋_GB2312"/>
          <w:sz w:val="28"/>
          <w:szCs w:val="28"/>
        </w:rPr>
      </w:pPr>
      <w:r>
        <w:rPr>
          <w:rFonts w:ascii="Times New Roman" w:hAnsi="Times New Roman" w:eastAsia="仿宋_GB2312"/>
          <w:sz w:val="28"/>
          <w:szCs w:val="28"/>
        </w:rPr>
        <w:t>本次</w:t>
      </w:r>
      <w:r>
        <w:rPr>
          <w:rFonts w:ascii="Times New Roman" w:hAnsi="Times New Roman" w:eastAsia="仿宋_GB2312"/>
          <w:kern w:val="0"/>
          <w:sz w:val="28"/>
          <w:szCs w:val="28"/>
          <w:lang w:val="zh-CN"/>
        </w:rPr>
        <w:t>审计目的和范围是</w:t>
      </w:r>
      <w:r>
        <w:rPr>
          <w:rFonts w:ascii="Times New Roman" w:hAnsi="Times New Roman" w:eastAsia="仿宋_GB2312"/>
          <w:sz w:val="28"/>
          <w:szCs w:val="28"/>
        </w:rPr>
        <w:t>对****公司的****（产品名称）</w:t>
      </w:r>
      <w:r>
        <w:rPr>
          <w:rFonts w:hint="eastAsia" w:ascii="Times New Roman" w:hAnsi="Times New Roman" w:eastAsia="仿宋_GB2312"/>
          <w:sz w:val="28"/>
          <w:szCs w:val="28"/>
          <w:lang w:val="en-US" w:eastAsia="zh-CN"/>
        </w:rPr>
        <w:t>2024年6月7日以后2025年12月31日之前销售的首台（套）装备产品</w:t>
      </w:r>
      <w:r>
        <w:rPr>
          <w:rFonts w:ascii="Times New Roman" w:hAnsi="Times New Roman" w:eastAsia="仿宋_GB2312"/>
          <w:sz w:val="28"/>
          <w:szCs w:val="28"/>
        </w:rPr>
        <w:t>按照有关要求核查原始票据和凭证，并对申报产品的销售情况出具审计意见。</w:t>
      </w:r>
    </w:p>
    <w:p w14:paraId="120FACE0">
      <w:pPr>
        <w:adjustRightInd w:val="0"/>
        <w:snapToGrid w:val="0"/>
        <w:spacing w:line="520" w:lineRule="exact"/>
        <w:ind w:firstLine="566" w:firstLineChars="200"/>
        <w:rPr>
          <w:rFonts w:ascii="Times New Roman" w:hAnsi="Times New Roman" w:eastAsia="仿宋_GB2312"/>
          <w:b/>
          <w:sz w:val="28"/>
          <w:szCs w:val="28"/>
        </w:rPr>
      </w:pPr>
      <w:r>
        <w:rPr>
          <w:rFonts w:ascii="Times New Roman" w:hAnsi="Times New Roman" w:eastAsia="仿宋_GB2312"/>
          <w:b/>
          <w:sz w:val="28"/>
          <w:szCs w:val="28"/>
        </w:rPr>
        <w:t>三、产品实际销售情况</w:t>
      </w:r>
    </w:p>
    <w:p w14:paraId="3374CEC2">
      <w:pPr>
        <w:adjustRightInd w:val="0"/>
        <w:snapToGrid w:val="0"/>
        <w:spacing w:line="520" w:lineRule="exact"/>
        <w:ind w:firstLine="566" w:firstLineChars="200"/>
        <w:rPr>
          <w:rFonts w:ascii="Times New Roman" w:hAnsi="Times New Roman" w:eastAsia="仿宋_GB2312"/>
          <w:sz w:val="28"/>
          <w:szCs w:val="28"/>
        </w:rPr>
      </w:pPr>
      <w:r>
        <w:rPr>
          <w:rFonts w:ascii="Times New Roman" w:hAnsi="Times New Roman" w:eastAsia="仿宋_GB2312"/>
          <w:kern w:val="32"/>
          <w:sz w:val="28"/>
          <w:szCs w:val="28"/>
        </w:rPr>
        <w:t xml:space="preserve">在  </w:t>
      </w:r>
      <w:r>
        <w:rPr>
          <w:rFonts w:ascii="Times New Roman" w:hAnsi="Times New Roman" w:eastAsia="仿宋_GB2312"/>
          <w:kern w:val="0"/>
          <w:sz w:val="28"/>
          <w:szCs w:val="28"/>
          <w:lang w:val="zh-CN"/>
        </w:rPr>
        <w:t>年  月  日－  年  月  日，</w:t>
      </w:r>
      <w:r>
        <w:rPr>
          <w:rFonts w:ascii="Times New Roman" w:hAnsi="Times New Roman" w:eastAsia="仿宋_GB2312"/>
          <w:sz w:val="28"/>
          <w:szCs w:val="28"/>
        </w:rPr>
        <w:t>审定该产品实际销售额****万元（</w:t>
      </w:r>
      <w:r>
        <w:rPr>
          <w:rFonts w:hint="eastAsia" w:ascii="Times New Roman" w:hAnsi="Times New Roman" w:eastAsia="仿宋_GB2312"/>
          <w:sz w:val="28"/>
          <w:szCs w:val="28"/>
          <w:lang w:val="en-US" w:eastAsia="zh-CN"/>
        </w:rPr>
        <w:t>不</w:t>
      </w:r>
      <w:r>
        <w:rPr>
          <w:rFonts w:ascii="Times New Roman" w:hAnsi="Times New Roman" w:eastAsia="仿宋_GB2312"/>
          <w:sz w:val="28"/>
          <w:szCs w:val="28"/>
        </w:rPr>
        <w:t>含税），明细如下：</w:t>
      </w:r>
    </w:p>
    <w:p w14:paraId="6A6945BA">
      <w:pPr>
        <w:adjustRightInd w:val="0"/>
        <w:snapToGrid w:val="0"/>
        <w:spacing w:line="520" w:lineRule="exact"/>
        <w:ind w:firstLine="566" w:firstLineChars="200"/>
        <w:rPr>
          <w:rFonts w:hint="eastAsia" w:ascii="Times New Roman" w:hAnsi="Times New Roman" w:eastAsia="仿宋_GB2312"/>
          <w:sz w:val="28"/>
          <w:szCs w:val="28"/>
        </w:rPr>
      </w:pPr>
    </w:p>
    <w:tbl>
      <w:tblPr>
        <w:tblStyle w:val="5"/>
        <w:tblW w:w="6232" w:type="dxa"/>
        <w:tblInd w:w="1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2616"/>
        <w:gridCol w:w="2542"/>
      </w:tblGrid>
      <w:tr w14:paraId="1B5E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074" w:type="dxa"/>
            <w:tcBorders>
              <w:top w:val="single" w:color="auto" w:sz="4" w:space="0"/>
              <w:left w:val="single" w:color="auto" w:sz="4" w:space="0"/>
              <w:bottom w:val="single" w:color="auto" w:sz="4" w:space="0"/>
              <w:right w:val="single" w:color="auto" w:sz="4" w:space="0"/>
            </w:tcBorders>
            <w:vAlign w:val="center"/>
          </w:tcPr>
          <w:p w14:paraId="71E8B520">
            <w:pPr>
              <w:spacing w:line="480" w:lineRule="exact"/>
              <w:jc w:val="center"/>
              <w:rPr>
                <w:rFonts w:ascii="Times New Roman" w:hAnsi="Times New Roman" w:eastAsia="仿宋_GB2312"/>
                <w:kern w:val="0"/>
                <w:sz w:val="24"/>
              </w:rPr>
            </w:pPr>
            <w:r>
              <w:rPr>
                <w:rFonts w:ascii="Times New Roman" w:hAnsi="Times New Roman" w:eastAsia="仿宋_GB2312"/>
                <w:kern w:val="0"/>
                <w:sz w:val="24"/>
              </w:rPr>
              <w:t>序号</w:t>
            </w:r>
          </w:p>
        </w:tc>
        <w:tc>
          <w:tcPr>
            <w:tcW w:w="2616" w:type="dxa"/>
            <w:tcBorders>
              <w:left w:val="single" w:color="auto" w:sz="4" w:space="0"/>
            </w:tcBorders>
            <w:vAlign w:val="center"/>
          </w:tcPr>
          <w:p w14:paraId="48B57FB9">
            <w:pPr>
              <w:spacing w:line="480" w:lineRule="exact"/>
              <w:jc w:val="center"/>
              <w:rPr>
                <w:rFonts w:ascii="Times New Roman" w:hAnsi="Times New Roman" w:eastAsia="仿宋_GB2312"/>
                <w:kern w:val="0"/>
                <w:sz w:val="24"/>
              </w:rPr>
            </w:pPr>
            <w:r>
              <w:rPr>
                <w:rFonts w:ascii="Times New Roman" w:hAnsi="Times New Roman" w:eastAsia="仿宋_GB2312"/>
                <w:kern w:val="0"/>
                <w:sz w:val="24"/>
              </w:rPr>
              <w:t>产品名称</w:t>
            </w:r>
          </w:p>
        </w:tc>
        <w:tc>
          <w:tcPr>
            <w:tcW w:w="2542" w:type="dxa"/>
            <w:vAlign w:val="center"/>
          </w:tcPr>
          <w:p w14:paraId="3283838B">
            <w:pPr>
              <w:adjustRightInd w:val="0"/>
              <w:snapToGrid w:val="0"/>
              <w:spacing w:line="460" w:lineRule="exact"/>
              <w:jc w:val="center"/>
              <w:rPr>
                <w:rFonts w:ascii="Times New Roman" w:hAnsi="Times New Roman" w:eastAsia="仿宋_GB2312"/>
                <w:kern w:val="0"/>
                <w:sz w:val="24"/>
              </w:rPr>
            </w:pPr>
            <w:r>
              <w:rPr>
                <w:rFonts w:ascii="Times New Roman" w:hAnsi="Times New Roman" w:eastAsia="仿宋_GB2312"/>
                <w:kern w:val="0"/>
                <w:sz w:val="24"/>
              </w:rPr>
              <w:t>本期审计</w:t>
            </w:r>
          </w:p>
          <w:p w14:paraId="6B4107BB">
            <w:pPr>
              <w:spacing w:line="480" w:lineRule="exact"/>
              <w:jc w:val="center"/>
              <w:rPr>
                <w:rFonts w:ascii="Times New Roman" w:hAnsi="Times New Roman" w:eastAsia="仿宋_GB2312"/>
                <w:kern w:val="0"/>
                <w:sz w:val="24"/>
              </w:rPr>
            </w:pPr>
            <w:r>
              <w:rPr>
                <w:rFonts w:ascii="Times New Roman" w:hAnsi="Times New Roman" w:eastAsia="仿宋_GB2312"/>
                <w:kern w:val="0"/>
                <w:sz w:val="24"/>
              </w:rPr>
              <w:t>审定金额</w:t>
            </w:r>
          </w:p>
          <w:p w14:paraId="5165A7F0">
            <w:pPr>
              <w:spacing w:line="480" w:lineRule="exact"/>
              <w:jc w:val="center"/>
              <w:rPr>
                <w:rFonts w:ascii="Times New Roman" w:hAnsi="Times New Roman" w:eastAsia="仿宋_GB2312"/>
                <w:kern w:val="0"/>
                <w:sz w:val="24"/>
              </w:rPr>
            </w:pPr>
            <w:r>
              <w:rPr>
                <w:rFonts w:ascii="Times New Roman" w:hAnsi="Times New Roman" w:eastAsia="仿宋_GB2312"/>
                <w:kern w:val="0"/>
                <w:sz w:val="24"/>
              </w:rPr>
              <w:t>（单位：万元）</w:t>
            </w:r>
          </w:p>
        </w:tc>
      </w:tr>
      <w:tr w14:paraId="7C04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74" w:type="dxa"/>
            <w:tcBorders>
              <w:top w:val="single" w:color="auto" w:sz="4" w:space="0"/>
              <w:left w:val="single" w:color="auto" w:sz="4" w:space="0"/>
              <w:bottom w:val="single" w:color="auto" w:sz="4" w:space="0"/>
              <w:right w:val="single" w:color="auto" w:sz="4" w:space="0"/>
            </w:tcBorders>
            <w:vAlign w:val="center"/>
          </w:tcPr>
          <w:p w14:paraId="1FDDE9C2">
            <w:pPr>
              <w:spacing w:line="480" w:lineRule="exact"/>
              <w:jc w:val="center"/>
              <w:rPr>
                <w:rFonts w:ascii="Times New Roman" w:hAnsi="Times New Roman" w:eastAsia="仿宋_GB2312"/>
                <w:kern w:val="0"/>
                <w:sz w:val="24"/>
              </w:rPr>
            </w:pPr>
            <w:r>
              <w:rPr>
                <w:rFonts w:ascii="Times New Roman" w:hAnsi="Times New Roman" w:eastAsia="仿宋_GB2312"/>
                <w:kern w:val="0"/>
                <w:sz w:val="24"/>
              </w:rPr>
              <w:t>1</w:t>
            </w:r>
          </w:p>
        </w:tc>
        <w:tc>
          <w:tcPr>
            <w:tcW w:w="2616" w:type="dxa"/>
            <w:tcBorders>
              <w:left w:val="single" w:color="auto" w:sz="4" w:space="0"/>
            </w:tcBorders>
            <w:vAlign w:val="center"/>
          </w:tcPr>
          <w:p w14:paraId="1F9D0F6B">
            <w:pPr>
              <w:spacing w:line="480" w:lineRule="exact"/>
              <w:jc w:val="center"/>
              <w:rPr>
                <w:rFonts w:ascii="Times New Roman" w:hAnsi="Times New Roman" w:eastAsia="仿宋_GB2312"/>
                <w:kern w:val="0"/>
                <w:sz w:val="24"/>
              </w:rPr>
            </w:pPr>
            <w:r>
              <w:rPr>
                <w:rFonts w:ascii="Times New Roman" w:hAnsi="Times New Roman" w:eastAsia="仿宋_GB2312"/>
                <w:kern w:val="0"/>
                <w:sz w:val="24"/>
              </w:rPr>
              <w:t xml:space="preserve">**** </w:t>
            </w:r>
          </w:p>
        </w:tc>
        <w:tc>
          <w:tcPr>
            <w:tcW w:w="2542" w:type="dxa"/>
            <w:vAlign w:val="center"/>
          </w:tcPr>
          <w:p w14:paraId="6F109F83">
            <w:pPr>
              <w:spacing w:line="480" w:lineRule="exact"/>
              <w:ind w:firstLine="486" w:firstLineChars="200"/>
              <w:jc w:val="center"/>
              <w:rPr>
                <w:rFonts w:ascii="Times New Roman" w:hAnsi="Times New Roman" w:eastAsia="仿宋_GB2312"/>
                <w:kern w:val="0"/>
                <w:sz w:val="24"/>
              </w:rPr>
            </w:pPr>
          </w:p>
        </w:tc>
      </w:tr>
      <w:tr w14:paraId="2333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1074" w:type="dxa"/>
            <w:tcBorders>
              <w:top w:val="single" w:color="auto" w:sz="4" w:space="0"/>
              <w:left w:val="single" w:color="auto" w:sz="4" w:space="0"/>
              <w:bottom w:val="single" w:color="auto" w:sz="4" w:space="0"/>
              <w:right w:val="single" w:color="auto" w:sz="4" w:space="0"/>
            </w:tcBorders>
            <w:vAlign w:val="center"/>
          </w:tcPr>
          <w:p w14:paraId="2D7D4CB0">
            <w:pPr>
              <w:spacing w:line="480" w:lineRule="exact"/>
              <w:jc w:val="center"/>
              <w:rPr>
                <w:rFonts w:ascii="Times New Roman" w:hAnsi="Times New Roman" w:eastAsia="仿宋_GB2312"/>
                <w:kern w:val="0"/>
                <w:sz w:val="24"/>
              </w:rPr>
            </w:pPr>
            <w:r>
              <w:rPr>
                <w:rFonts w:ascii="Times New Roman" w:hAnsi="Times New Roman" w:eastAsia="仿宋_GB2312"/>
                <w:kern w:val="0"/>
                <w:sz w:val="24"/>
              </w:rPr>
              <w:t>2</w:t>
            </w:r>
          </w:p>
        </w:tc>
        <w:tc>
          <w:tcPr>
            <w:tcW w:w="2616" w:type="dxa"/>
            <w:tcBorders>
              <w:left w:val="single" w:color="auto" w:sz="4" w:space="0"/>
            </w:tcBorders>
            <w:vAlign w:val="center"/>
          </w:tcPr>
          <w:p w14:paraId="394DA621">
            <w:pPr>
              <w:spacing w:line="480" w:lineRule="exact"/>
              <w:jc w:val="center"/>
              <w:rPr>
                <w:rFonts w:ascii="Times New Roman" w:hAnsi="Times New Roman" w:eastAsia="仿宋_GB2312"/>
                <w:kern w:val="0"/>
                <w:sz w:val="24"/>
              </w:rPr>
            </w:pPr>
            <w:r>
              <w:rPr>
                <w:rFonts w:ascii="Times New Roman" w:hAnsi="Times New Roman" w:eastAsia="仿宋_GB2312"/>
                <w:kern w:val="0"/>
                <w:sz w:val="24"/>
              </w:rPr>
              <w:t>****</w:t>
            </w:r>
          </w:p>
        </w:tc>
        <w:tc>
          <w:tcPr>
            <w:tcW w:w="2542" w:type="dxa"/>
            <w:vAlign w:val="center"/>
          </w:tcPr>
          <w:p w14:paraId="2876F8C5">
            <w:pPr>
              <w:spacing w:line="480" w:lineRule="exact"/>
              <w:ind w:firstLine="486" w:firstLineChars="200"/>
              <w:jc w:val="center"/>
              <w:rPr>
                <w:rFonts w:ascii="Times New Roman" w:hAnsi="Times New Roman" w:eastAsia="仿宋_GB2312"/>
                <w:kern w:val="0"/>
                <w:sz w:val="24"/>
              </w:rPr>
            </w:pPr>
          </w:p>
        </w:tc>
      </w:tr>
      <w:tr w14:paraId="60CF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3690" w:type="dxa"/>
            <w:gridSpan w:val="2"/>
            <w:vAlign w:val="center"/>
          </w:tcPr>
          <w:p w14:paraId="01348600">
            <w:pPr>
              <w:spacing w:line="480" w:lineRule="exact"/>
              <w:jc w:val="center"/>
              <w:rPr>
                <w:rFonts w:ascii="Times New Roman" w:hAnsi="Times New Roman" w:eastAsia="仿宋_GB2312"/>
                <w:kern w:val="0"/>
                <w:sz w:val="24"/>
              </w:rPr>
            </w:pPr>
            <w:r>
              <w:rPr>
                <w:rFonts w:ascii="Times New Roman" w:hAnsi="Times New Roman" w:eastAsia="仿宋_GB2312"/>
                <w:kern w:val="0"/>
                <w:sz w:val="24"/>
              </w:rPr>
              <w:t>合计</w:t>
            </w:r>
          </w:p>
        </w:tc>
        <w:tc>
          <w:tcPr>
            <w:tcW w:w="2542" w:type="dxa"/>
            <w:vAlign w:val="center"/>
          </w:tcPr>
          <w:p w14:paraId="479947D3">
            <w:pPr>
              <w:spacing w:line="480" w:lineRule="exact"/>
              <w:ind w:firstLine="486" w:firstLineChars="200"/>
              <w:jc w:val="center"/>
              <w:rPr>
                <w:rFonts w:ascii="Times New Roman" w:hAnsi="Times New Roman" w:eastAsia="仿宋_GB2312"/>
                <w:kern w:val="0"/>
                <w:sz w:val="24"/>
              </w:rPr>
            </w:pPr>
          </w:p>
        </w:tc>
      </w:tr>
    </w:tbl>
    <w:p w14:paraId="2DF92D5C">
      <w:pPr>
        <w:spacing w:line="520" w:lineRule="exact"/>
        <w:ind w:firstLine="566" w:firstLineChars="200"/>
        <w:outlineLvl w:val="0"/>
        <w:rPr>
          <w:rFonts w:ascii="Times New Roman" w:hAnsi="Times New Roman" w:eastAsia="仿宋_GB2312"/>
          <w:b/>
          <w:kern w:val="0"/>
          <w:sz w:val="28"/>
          <w:szCs w:val="28"/>
          <w:lang w:val="zh-CN"/>
        </w:rPr>
      </w:pPr>
    </w:p>
    <w:p w14:paraId="3EA64F45">
      <w:pPr>
        <w:tabs>
          <w:tab w:val="center" w:pos="4434"/>
        </w:tabs>
        <w:spacing w:line="520" w:lineRule="exact"/>
        <w:ind w:firstLine="566" w:firstLineChars="200"/>
        <w:outlineLvl w:val="0"/>
        <w:rPr>
          <w:rFonts w:ascii="Times New Roman" w:hAnsi="Times New Roman" w:eastAsia="仿宋_GB2312"/>
          <w:b/>
          <w:kern w:val="0"/>
          <w:sz w:val="28"/>
          <w:szCs w:val="28"/>
          <w:lang w:val="zh-CN"/>
        </w:rPr>
      </w:pPr>
      <w:r>
        <w:rPr>
          <w:rFonts w:ascii="Times New Roman" w:hAnsi="Times New Roman" w:eastAsia="仿宋_GB2312"/>
          <w:b/>
          <w:kern w:val="0"/>
          <w:sz w:val="28"/>
          <w:szCs w:val="28"/>
          <w:lang w:val="zh-CN"/>
        </w:rPr>
        <w:t>四、审计意见</w:t>
      </w:r>
      <w:r>
        <w:rPr>
          <w:rFonts w:ascii="Times New Roman" w:hAnsi="Times New Roman" w:eastAsia="仿宋_GB2312"/>
          <w:b/>
          <w:kern w:val="0"/>
          <w:sz w:val="28"/>
          <w:szCs w:val="28"/>
          <w:lang w:val="zh-CN"/>
        </w:rPr>
        <w:tab/>
      </w:r>
    </w:p>
    <w:p w14:paraId="50C579C2">
      <w:pPr>
        <w:spacing w:line="520" w:lineRule="exact"/>
        <w:ind w:firstLine="566" w:firstLineChars="200"/>
        <w:rPr>
          <w:rFonts w:ascii="Times New Roman" w:hAnsi="Times New Roman" w:eastAsia="仿宋_GB2312"/>
          <w:sz w:val="28"/>
          <w:szCs w:val="28"/>
        </w:rPr>
      </w:pPr>
      <w:r>
        <w:rPr>
          <w:rFonts w:ascii="Times New Roman" w:hAnsi="Times New Roman" w:eastAsia="仿宋_GB2312"/>
          <w:sz w:val="28"/>
          <w:szCs w:val="28"/>
        </w:rPr>
        <w:t>我们认为，后附的</w:t>
      </w:r>
      <w:r>
        <w:rPr>
          <w:rFonts w:ascii="Times New Roman" w:hAnsi="Times New Roman" w:eastAsia="仿宋_GB2312"/>
          <w:kern w:val="0"/>
          <w:sz w:val="28"/>
          <w:szCs w:val="28"/>
          <w:lang w:val="zh-CN"/>
        </w:rPr>
        <w:t>****</w:t>
      </w:r>
      <w:r>
        <w:rPr>
          <w:rFonts w:ascii="Times New Roman" w:hAnsi="Times New Roman" w:eastAsia="仿宋_GB2312"/>
          <w:sz w:val="28"/>
          <w:szCs w:val="28"/>
        </w:rPr>
        <w:t>公司</w:t>
      </w:r>
      <w:r>
        <w:rPr>
          <w:rFonts w:ascii="Times New Roman" w:hAnsi="Times New Roman" w:eastAsia="仿宋_GB2312"/>
          <w:kern w:val="0"/>
          <w:sz w:val="28"/>
          <w:szCs w:val="28"/>
          <w:lang w:val="zh-CN"/>
        </w:rPr>
        <w:t>****（</w:t>
      </w:r>
      <w:r>
        <w:rPr>
          <w:rFonts w:ascii="Times New Roman" w:hAnsi="Times New Roman" w:eastAsia="仿宋_GB2312"/>
          <w:sz w:val="28"/>
          <w:szCs w:val="28"/>
        </w:rPr>
        <w:t>产品名称）《</w:t>
      </w:r>
      <w:r>
        <w:rPr>
          <w:rFonts w:hint="eastAsia" w:ascii="Times New Roman" w:hAnsi="Times New Roman" w:eastAsia="仿宋_GB2312"/>
          <w:sz w:val="28"/>
          <w:szCs w:val="28"/>
          <w:lang w:val="en-US" w:eastAsia="zh-CN"/>
        </w:rPr>
        <w:t>2027年</w:t>
      </w:r>
      <w:r>
        <w:rPr>
          <w:rFonts w:hint="eastAsia" w:ascii="Times New Roman" w:hAnsi="Times New Roman" w:eastAsia="仿宋_GB2312"/>
          <w:sz w:val="28"/>
          <w:szCs w:val="28"/>
          <w:lang w:eastAsia="zh-CN"/>
        </w:rPr>
        <w:t>广东省</w:t>
      </w:r>
      <w:r>
        <w:rPr>
          <w:rFonts w:ascii="Times New Roman" w:hAnsi="Times New Roman" w:eastAsia="仿宋_GB2312"/>
          <w:sz w:val="28"/>
          <w:szCs w:val="28"/>
        </w:rPr>
        <w:t>首台（套）重</w:t>
      </w:r>
      <w:r>
        <w:rPr>
          <w:rFonts w:hint="eastAsia" w:ascii="Times New Roman" w:hAnsi="Times New Roman" w:eastAsia="仿宋_GB2312"/>
          <w:sz w:val="28"/>
          <w:szCs w:val="28"/>
          <w:lang w:eastAsia="zh-CN"/>
        </w:rPr>
        <w:t>大</w:t>
      </w:r>
      <w:r>
        <w:rPr>
          <w:rFonts w:ascii="Times New Roman" w:hAnsi="Times New Roman" w:eastAsia="仿宋_GB2312"/>
          <w:sz w:val="28"/>
          <w:szCs w:val="28"/>
        </w:rPr>
        <w:t>技术装备</w:t>
      </w:r>
      <w:r>
        <w:rPr>
          <w:rFonts w:hint="eastAsia" w:ascii="Times New Roman" w:hAnsi="Times New Roman" w:eastAsia="仿宋_GB2312"/>
          <w:sz w:val="28"/>
          <w:szCs w:val="28"/>
          <w:lang w:eastAsia="zh-CN"/>
        </w:rPr>
        <w:t>研制与推广应用</w:t>
      </w:r>
      <w:r>
        <w:rPr>
          <w:rFonts w:ascii="Times New Roman" w:hAnsi="Times New Roman" w:eastAsia="仿宋_GB2312"/>
          <w:sz w:val="28"/>
          <w:szCs w:val="28"/>
        </w:rPr>
        <w:t>项目入库销售清单》，已在</w:t>
      </w:r>
      <w:r>
        <w:rPr>
          <w:rFonts w:ascii="Times New Roman" w:hAnsi="Times New Roman" w:eastAsia="仿宋_GB2312"/>
          <w:kern w:val="0"/>
          <w:sz w:val="28"/>
          <w:szCs w:val="28"/>
          <w:lang w:val="zh-CN"/>
        </w:rPr>
        <w:t>相关会计制度和</w:t>
      </w:r>
      <w:r>
        <w:rPr>
          <w:rFonts w:ascii="Times New Roman" w:hAnsi="Times New Roman" w:eastAsia="仿宋_GB2312"/>
          <w:sz w:val="28"/>
          <w:szCs w:val="28"/>
        </w:rPr>
        <w:t>会计准则框架下，按照</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广东省省级财政专项资金管理办法（2025年修订）</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（粤府〔2025〕56号）</w:t>
      </w:r>
      <w:r>
        <w:rPr>
          <w:rFonts w:hint="eastAsia" w:ascii="Times New Roman" w:hAnsi="Times New Roman" w:eastAsia="仿宋_GB2312" w:cs="Times New Roman"/>
          <w:sz w:val="28"/>
          <w:szCs w:val="28"/>
          <w:lang w:val="en-US" w:eastAsia="zh-CN"/>
        </w:rPr>
        <w:t>《广东省工业和信息化厅关于开展省级制造业当家重点任务保障专项资金首台（套）重大技术装备研制与推广应用项目入库储备工作的通知》（粤工信装备函〔2026〕51号）</w:t>
      </w:r>
      <w:r>
        <w:rPr>
          <w:rFonts w:ascii="Times New Roman" w:hAnsi="Times New Roman" w:eastAsia="仿宋_GB2312"/>
          <w:sz w:val="28"/>
          <w:szCs w:val="28"/>
        </w:rPr>
        <w:t>等有</w:t>
      </w:r>
      <w:r>
        <w:rPr>
          <w:rFonts w:ascii="Times New Roman" w:hAnsi="Times New Roman" w:eastAsia="仿宋_GB2312"/>
          <w:kern w:val="32"/>
          <w:sz w:val="28"/>
          <w:szCs w:val="28"/>
        </w:rPr>
        <w:t>关要求</w:t>
      </w:r>
      <w:r>
        <w:rPr>
          <w:rFonts w:ascii="Times New Roman" w:hAnsi="Times New Roman" w:eastAsia="仿宋_GB2312"/>
          <w:sz w:val="28"/>
          <w:szCs w:val="28"/>
        </w:rPr>
        <w:t>编制。经审计，</w:t>
      </w:r>
      <w:r>
        <w:rPr>
          <w:rFonts w:ascii="Times New Roman" w:hAnsi="Times New Roman" w:eastAsia="仿宋_GB2312"/>
          <w:kern w:val="32"/>
          <w:sz w:val="28"/>
          <w:szCs w:val="28"/>
        </w:rPr>
        <w:t xml:space="preserve">  </w:t>
      </w:r>
      <w:r>
        <w:rPr>
          <w:rFonts w:ascii="Times New Roman" w:hAnsi="Times New Roman" w:eastAsia="仿宋_GB2312"/>
          <w:kern w:val="0"/>
          <w:sz w:val="28"/>
          <w:szCs w:val="28"/>
          <w:lang w:val="zh-CN"/>
        </w:rPr>
        <w:t>年  月  日－  年  月  日，</w:t>
      </w:r>
      <w:r>
        <w:rPr>
          <w:rFonts w:ascii="Times New Roman" w:hAnsi="Times New Roman" w:eastAsia="仿宋_GB2312"/>
          <w:sz w:val="28"/>
          <w:szCs w:val="28"/>
        </w:rPr>
        <w:t>该产品实际销售额</w:t>
      </w:r>
      <w:r>
        <w:rPr>
          <w:rFonts w:ascii="Times New Roman" w:hAnsi="Times New Roman" w:eastAsia="仿宋_GB2312"/>
          <w:kern w:val="0"/>
          <w:sz w:val="28"/>
          <w:szCs w:val="28"/>
          <w:lang w:val="zh-CN"/>
        </w:rPr>
        <w:t>****</w:t>
      </w:r>
      <w:r>
        <w:rPr>
          <w:rFonts w:ascii="Times New Roman" w:hAnsi="Times New Roman" w:eastAsia="仿宋_GB2312"/>
          <w:sz w:val="28"/>
          <w:szCs w:val="28"/>
        </w:rPr>
        <w:t>万元。</w:t>
      </w:r>
    </w:p>
    <w:p w14:paraId="75449168">
      <w:pPr>
        <w:tabs>
          <w:tab w:val="left" w:pos="4410"/>
        </w:tabs>
        <w:spacing w:line="520" w:lineRule="exact"/>
        <w:ind w:firstLine="566" w:firstLineChars="200"/>
        <w:rPr>
          <w:rFonts w:ascii="Times New Roman" w:hAnsi="Times New Roman" w:eastAsia="仿宋_GB2312"/>
          <w:sz w:val="28"/>
          <w:szCs w:val="28"/>
        </w:rPr>
      </w:pPr>
    </w:p>
    <w:p w14:paraId="54CDF445">
      <w:pPr>
        <w:tabs>
          <w:tab w:val="left" w:pos="4410"/>
        </w:tabs>
        <w:spacing w:line="520" w:lineRule="exact"/>
        <w:ind w:firstLine="566" w:firstLineChars="200"/>
        <w:rPr>
          <w:rFonts w:ascii="Times New Roman" w:hAnsi="Times New Roman" w:eastAsia="仿宋_GB2312"/>
          <w:sz w:val="28"/>
          <w:szCs w:val="28"/>
        </w:rPr>
      </w:pPr>
      <w:r>
        <w:rPr>
          <w:rFonts w:ascii="Times New Roman" w:hAnsi="Times New Roman" w:eastAsia="仿宋_GB2312"/>
          <w:sz w:val="28"/>
          <w:szCs w:val="28"/>
        </w:rPr>
        <w:t>附件：</w:t>
      </w:r>
      <w:r>
        <w:rPr>
          <w:rFonts w:ascii="Times New Roman" w:hAnsi="Times New Roman"/>
        </w:rPr>
        <w:t xml:space="preserve"> </w:t>
      </w:r>
      <w:r>
        <w:rPr>
          <w:rFonts w:ascii="Times New Roman" w:hAnsi="Times New Roman" w:eastAsia="仿宋_GB2312"/>
          <w:kern w:val="0"/>
          <w:sz w:val="28"/>
          <w:szCs w:val="28"/>
          <w:lang w:val="zh-CN"/>
        </w:rPr>
        <w:t>****</w:t>
      </w:r>
      <w:r>
        <w:rPr>
          <w:rFonts w:ascii="Times New Roman" w:hAnsi="Times New Roman" w:eastAsia="仿宋_GB2312"/>
          <w:sz w:val="28"/>
          <w:szCs w:val="28"/>
        </w:rPr>
        <w:t>公司</w:t>
      </w:r>
      <w:r>
        <w:rPr>
          <w:rFonts w:hint="eastAsia" w:ascii="Times New Roman" w:hAnsi="Times New Roman" w:eastAsia="仿宋_GB2312"/>
          <w:sz w:val="28"/>
          <w:szCs w:val="28"/>
          <w:lang w:eastAsia="zh-CN"/>
        </w:rPr>
        <w:t>202</w:t>
      </w:r>
      <w:r>
        <w:rPr>
          <w:rFonts w:hint="eastAsia" w:ascii="Times New Roman" w:hAnsi="Times New Roman" w:eastAsia="仿宋_GB2312"/>
          <w:sz w:val="28"/>
          <w:szCs w:val="28"/>
          <w:lang w:val="en-US" w:eastAsia="zh-CN"/>
        </w:rPr>
        <w:t>7</w:t>
      </w:r>
      <w:r>
        <w:rPr>
          <w:rFonts w:hint="eastAsia" w:ascii="Times New Roman" w:hAnsi="Times New Roman" w:eastAsia="仿宋_GB2312"/>
          <w:sz w:val="28"/>
          <w:szCs w:val="28"/>
          <w:lang w:eastAsia="zh-CN"/>
        </w:rPr>
        <w:t>年省级制造业当家重点任务保障专项资金</w:t>
      </w:r>
      <w:r>
        <w:rPr>
          <w:rFonts w:hint="eastAsia" w:ascii="Times New Roman" w:hAnsi="Times New Roman" w:eastAsia="仿宋_GB2312"/>
          <w:sz w:val="28"/>
          <w:szCs w:val="28"/>
        </w:rPr>
        <w:t>首台（套）重大技术装备研制与推广应用项目入库储备</w:t>
      </w:r>
      <w:r>
        <w:rPr>
          <w:rFonts w:ascii="Times New Roman" w:hAnsi="Times New Roman" w:eastAsia="仿宋_GB2312"/>
          <w:sz w:val="28"/>
          <w:szCs w:val="28"/>
        </w:rPr>
        <w:t>销售清单</w:t>
      </w:r>
    </w:p>
    <w:p w14:paraId="39EF97D5">
      <w:pPr>
        <w:tabs>
          <w:tab w:val="left" w:pos="4410"/>
        </w:tabs>
        <w:spacing w:line="520" w:lineRule="exact"/>
        <w:ind w:firstLine="566" w:firstLineChars="200"/>
        <w:rPr>
          <w:rFonts w:ascii="Times New Roman" w:hAnsi="Times New Roman" w:eastAsia="仿宋_GB2312"/>
          <w:sz w:val="28"/>
          <w:szCs w:val="28"/>
        </w:rPr>
      </w:pPr>
    </w:p>
    <w:p w14:paraId="1401FCC5">
      <w:pPr>
        <w:tabs>
          <w:tab w:val="left" w:pos="4410"/>
        </w:tabs>
        <w:spacing w:line="520" w:lineRule="exact"/>
        <w:ind w:firstLine="566" w:firstLineChars="200"/>
        <w:rPr>
          <w:rFonts w:ascii="Times New Roman" w:hAnsi="Times New Roman" w:eastAsia="仿宋_GB2312"/>
          <w:sz w:val="28"/>
          <w:szCs w:val="28"/>
        </w:rPr>
      </w:pPr>
    </w:p>
    <w:p w14:paraId="5954A8D3">
      <w:pPr>
        <w:tabs>
          <w:tab w:val="left" w:pos="4410"/>
        </w:tabs>
        <w:spacing w:line="520" w:lineRule="exact"/>
        <w:ind w:firstLine="566" w:firstLineChars="200"/>
        <w:rPr>
          <w:rFonts w:ascii="Times New Roman" w:hAnsi="Times New Roman" w:eastAsia="仿宋_GB2312"/>
          <w:sz w:val="28"/>
          <w:szCs w:val="28"/>
        </w:rPr>
      </w:pPr>
      <w:r>
        <w:rPr>
          <w:rFonts w:ascii="Times New Roman" w:hAnsi="Times New Roman" w:eastAsia="仿宋_GB2312"/>
          <w:sz w:val="28"/>
          <w:szCs w:val="28"/>
        </w:rPr>
        <w:t>（会计师事务所全称）     中国注册会计师（签名、盖章）:</w:t>
      </w:r>
    </w:p>
    <w:p w14:paraId="1B3EE9C0">
      <w:pPr>
        <w:spacing w:line="520" w:lineRule="exact"/>
        <w:ind w:firstLine="566" w:firstLineChars="200"/>
        <w:rPr>
          <w:rFonts w:ascii="Times New Roman" w:hAnsi="Times New Roman" w:eastAsia="仿宋_GB2312"/>
          <w:sz w:val="28"/>
          <w:szCs w:val="28"/>
        </w:rPr>
      </w:pPr>
    </w:p>
    <w:p w14:paraId="4A5AA4CF">
      <w:pPr>
        <w:spacing w:line="520" w:lineRule="exact"/>
        <w:ind w:firstLine="566" w:firstLineChars="200"/>
        <w:rPr>
          <w:rFonts w:ascii="Times New Roman" w:hAnsi="Times New Roman" w:eastAsia="仿宋_GB2312"/>
          <w:sz w:val="28"/>
          <w:szCs w:val="28"/>
        </w:rPr>
      </w:pPr>
    </w:p>
    <w:p w14:paraId="4E707F66">
      <w:pPr>
        <w:spacing w:line="520" w:lineRule="exact"/>
        <w:ind w:firstLine="566" w:firstLineChars="200"/>
        <w:rPr>
          <w:rFonts w:ascii="Times New Roman" w:hAnsi="Times New Roman" w:eastAsia="仿宋_GB2312"/>
          <w:sz w:val="28"/>
          <w:szCs w:val="28"/>
        </w:rPr>
      </w:pPr>
      <w:r>
        <w:rPr>
          <w:rFonts w:ascii="Times New Roman" w:hAnsi="Times New Roman" w:eastAsia="仿宋_GB2312"/>
          <w:sz w:val="28"/>
          <w:szCs w:val="28"/>
        </w:rPr>
        <w:t xml:space="preserve">    ****年**月**日       中国注册会计师（签名、盖章）:</w:t>
      </w:r>
    </w:p>
    <w:p w14:paraId="31748106">
      <w:pPr>
        <w:spacing w:line="520" w:lineRule="exact"/>
        <w:ind w:firstLine="566" w:firstLineChars="200"/>
        <w:rPr>
          <w:rFonts w:ascii="Times New Roman" w:hAnsi="Times New Roman" w:eastAsia="仿宋_GB2312"/>
          <w:sz w:val="28"/>
          <w:szCs w:val="28"/>
        </w:rPr>
      </w:pPr>
    </w:p>
    <w:p w14:paraId="58A44F12">
      <w:pPr>
        <w:spacing w:line="520" w:lineRule="exact"/>
        <w:ind w:firstLine="566" w:firstLineChars="200"/>
        <w:rPr>
          <w:rFonts w:ascii="Times New Roman" w:hAnsi="Times New Roman" w:eastAsia="仿宋_GB2312"/>
          <w:sz w:val="28"/>
          <w:szCs w:val="28"/>
        </w:rPr>
      </w:pPr>
    </w:p>
    <w:p w14:paraId="59011FC8">
      <w:pPr>
        <w:widowControl/>
        <w:jc w:val="left"/>
        <w:rPr>
          <w:rFonts w:ascii="Times New Roman" w:hAnsi="Times New Roman" w:eastAsia="黑体"/>
          <w:sz w:val="32"/>
          <w:szCs w:val="32"/>
        </w:rPr>
      </w:pPr>
    </w:p>
    <w:p w14:paraId="26DF8433">
      <w:pPr>
        <w:rPr>
          <w:rFonts w:hint="eastAsia"/>
          <w:lang w:eastAsia="zh-CN"/>
        </w:rPr>
        <w:sectPr>
          <w:pgSz w:w="11906" w:h="16838"/>
          <w:pgMar w:top="1440" w:right="1797" w:bottom="1440" w:left="1797" w:header="851" w:footer="992" w:gutter="0"/>
          <w:cols w:space="0" w:num="1"/>
          <w:docGrid w:type="linesAndChars" w:linePitch="312" w:charSpace="640"/>
        </w:sectPr>
      </w:pPr>
      <w:r>
        <w:rPr>
          <w:rFonts w:ascii="Times New Roman" w:hAnsi="Times New Roman" w:eastAsia="黑体"/>
          <w:sz w:val="32"/>
          <w:szCs w:val="32"/>
        </w:rPr>
        <w:br w:type="page"/>
      </w:r>
    </w:p>
    <w:p w14:paraId="7505B52D">
      <w:pPr>
        <w:pStyle w:val="2"/>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附件：</w:t>
      </w:r>
    </w:p>
    <w:p w14:paraId="54A95154">
      <w:pPr>
        <w:pStyle w:val="2"/>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kern w:val="0"/>
          <w:sz w:val="44"/>
          <w:szCs w:val="44"/>
          <w:lang w:val="zh-CN"/>
        </w:rPr>
        <w:t>****</w:t>
      </w:r>
      <w:r>
        <w:rPr>
          <w:rFonts w:hint="eastAsia" w:ascii="方正小标宋简体" w:hAnsi="方正小标宋简体" w:eastAsia="方正小标宋简体" w:cs="方正小标宋简体"/>
          <w:sz w:val="44"/>
          <w:szCs w:val="44"/>
        </w:rPr>
        <w:t>公司</w:t>
      </w:r>
      <w:r>
        <w:rPr>
          <w:rFonts w:hint="eastAsia" w:ascii="方正小标宋简体" w:hAnsi="方正小标宋简体" w:eastAsia="方正小标宋简体" w:cs="方正小标宋简体"/>
          <w:sz w:val="44"/>
          <w:szCs w:val="44"/>
          <w:lang w:eastAsia="zh-CN"/>
        </w:rPr>
        <w:t>202</w:t>
      </w:r>
      <w:r>
        <w:rPr>
          <w:rFonts w:hint="eastAsia" w:ascii="方正小标宋简体" w:hAnsi="方正小标宋简体" w:eastAsia="方正小标宋简体" w:cs="方正小标宋简体"/>
          <w:sz w:val="44"/>
          <w:szCs w:val="44"/>
          <w:lang w:val="en-US" w:eastAsia="zh-CN"/>
        </w:rPr>
        <w:t>7</w:t>
      </w:r>
      <w:r>
        <w:rPr>
          <w:rFonts w:hint="eastAsia" w:ascii="方正小标宋简体" w:hAnsi="方正小标宋简体" w:eastAsia="方正小标宋简体" w:cs="方正小标宋简体"/>
          <w:sz w:val="44"/>
          <w:szCs w:val="44"/>
          <w:lang w:eastAsia="zh-CN"/>
        </w:rPr>
        <w:t>年省级制造业当家重点任务保障专项资金</w:t>
      </w:r>
      <w:r>
        <w:rPr>
          <w:rFonts w:hint="eastAsia" w:ascii="方正小标宋简体" w:hAnsi="方正小标宋简体" w:eastAsia="方正小标宋简体" w:cs="方正小标宋简体"/>
          <w:sz w:val="44"/>
          <w:szCs w:val="44"/>
        </w:rPr>
        <w:t>首台（套）重大技术装备研制与推广应用项目入库储备销售清单</w:t>
      </w:r>
    </w:p>
    <w:tbl>
      <w:tblPr>
        <w:tblStyle w:val="5"/>
        <w:tblW w:w="15060" w:type="dxa"/>
        <w:tblInd w:w="-5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5"/>
        <w:gridCol w:w="1050"/>
        <w:gridCol w:w="736"/>
        <w:gridCol w:w="794"/>
        <w:gridCol w:w="990"/>
        <w:gridCol w:w="825"/>
        <w:gridCol w:w="1140"/>
        <w:gridCol w:w="1020"/>
        <w:gridCol w:w="990"/>
        <w:gridCol w:w="945"/>
        <w:gridCol w:w="1020"/>
        <w:gridCol w:w="1155"/>
        <w:gridCol w:w="1230"/>
        <w:gridCol w:w="615"/>
        <w:gridCol w:w="1215"/>
        <w:gridCol w:w="750"/>
      </w:tblGrid>
      <w:tr w14:paraId="33183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120" w:type="dxa"/>
            <w:gridSpan w:val="7"/>
            <w:tcBorders>
              <w:top w:val="nil"/>
              <w:left w:val="nil"/>
              <w:bottom w:val="single" w:color="000000" w:sz="4" w:space="0"/>
              <w:right w:val="nil"/>
            </w:tcBorders>
            <w:shd w:val="clear" w:color="auto" w:fill="auto"/>
            <w:vAlign w:val="bottom"/>
          </w:tcPr>
          <w:p w14:paraId="62ECC258">
            <w:pPr>
              <w:keepNext w:val="0"/>
              <w:keepLines w:val="0"/>
              <w:widowControl/>
              <w:suppressLineNumbers w:val="0"/>
              <w:jc w:val="left"/>
              <w:textAlignment w:val="bottom"/>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企业名称：</w:t>
            </w:r>
          </w:p>
        </w:tc>
        <w:tc>
          <w:tcPr>
            <w:tcW w:w="5130" w:type="dxa"/>
            <w:gridSpan w:val="5"/>
            <w:tcBorders>
              <w:top w:val="nil"/>
              <w:left w:val="nil"/>
              <w:bottom w:val="nil"/>
              <w:right w:val="nil"/>
            </w:tcBorders>
            <w:shd w:val="clear" w:color="auto" w:fill="auto"/>
            <w:vAlign w:val="bottom"/>
          </w:tcPr>
          <w:p w14:paraId="138455E0">
            <w:pPr>
              <w:jc w:val="right"/>
              <w:rPr>
                <w:rFonts w:hint="eastAsia" w:ascii="仿宋_GB2312" w:hAnsi="宋体" w:eastAsia="仿宋_GB2312" w:cs="仿宋_GB2312"/>
                <w:i w:val="0"/>
                <w:color w:val="000000"/>
                <w:sz w:val="24"/>
                <w:szCs w:val="24"/>
                <w:u w:val="none"/>
              </w:rPr>
            </w:pPr>
          </w:p>
        </w:tc>
        <w:tc>
          <w:tcPr>
            <w:tcW w:w="3810" w:type="dxa"/>
            <w:gridSpan w:val="4"/>
            <w:tcBorders>
              <w:top w:val="nil"/>
              <w:left w:val="nil"/>
              <w:bottom w:val="single" w:color="000000" w:sz="4" w:space="0"/>
              <w:right w:val="nil"/>
            </w:tcBorders>
            <w:shd w:val="clear" w:color="auto" w:fill="auto"/>
            <w:noWrap/>
            <w:vAlign w:val="center"/>
          </w:tcPr>
          <w:p w14:paraId="1558308E">
            <w:pPr>
              <w:jc w:val="right"/>
              <w:rPr>
                <w:rFonts w:hint="eastAsia" w:ascii="宋体" w:hAnsi="宋体" w:eastAsia="宋体" w:cs="宋体"/>
                <w:i w:val="0"/>
                <w:color w:val="000000"/>
                <w:sz w:val="24"/>
                <w:szCs w:val="24"/>
                <w:u w:val="none"/>
              </w:rPr>
            </w:pPr>
          </w:p>
        </w:tc>
      </w:tr>
      <w:tr w14:paraId="025FC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585" w:type="dxa"/>
            <w:tcBorders>
              <w:top w:val="single" w:color="000000" w:sz="4" w:space="0"/>
              <w:left w:val="single" w:color="000000" w:sz="4" w:space="0"/>
              <w:bottom w:val="nil"/>
              <w:right w:val="single" w:color="000000" w:sz="4" w:space="0"/>
            </w:tcBorders>
            <w:shd w:val="clear" w:color="auto" w:fill="auto"/>
            <w:vAlign w:val="center"/>
          </w:tcPr>
          <w:p w14:paraId="7617D1D7">
            <w:pPr>
              <w:keepNext w:val="0"/>
              <w:keepLines w:val="0"/>
              <w:widowControl/>
              <w:suppressLineNumbers w:val="0"/>
              <w:jc w:val="center"/>
              <w:textAlignment w:val="center"/>
              <w:rPr>
                <w:rFonts w:ascii="Tahoma" w:hAnsi="Tahoma" w:eastAsia="Tahoma" w:cs="Tahoma"/>
                <w:i w:val="0"/>
                <w:color w:val="000000"/>
                <w:sz w:val="18"/>
                <w:szCs w:val="18"/>
                <w:u w:val="none"/>
              </w:rPr>
            </w:pPr>
            <w:r>
              <w:rPr>
                <w:rStyle w:val="11"/>
                <w:rFonts w:hAnsi="Tahoma"/>
                <w:sz w:val="18"/>
                <w:szCs w:val="18"/>
                <w:lang w:val="en-US" w:eastAsia="zh-CN" w:bidi="ar"/>
              </w:rPr>
              <w:t>序号</w:t>
            </w:r>
          </w:p>
        </w:tc>
        <w:tc>
          <w:tcPr>
            <w:tcW w:w="1050" w:type="dxa"/>
            <w:tcBorders>
              <w:top w:val="single" w:color="000000" w:sz="4" w:space="0"/>
              <w:left w:val="single" w:color="000000" w:sz="4" w:space="0"/>
              <w:bottom w:val="nil"/>
              <w:right w:val="nil"/>
            </w:tcBorders>
            <w:shd w:val="clear" w:color="auto" w:fill="auto"/>
            <w:vAlign w:val="center"/>
          </w:tcPr>
          <w:p w14:paraId="1C215C44">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产品名称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165FD">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数量</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F94C">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规格</w:t>
            </w:r>
            <w:r>
              <w:rPr>
                <w:rStyle w:val="12"/>
                <w:sz w:val="18"/>
                <w:szCs w:val="18"/>
                <w:lang w:val="en-US" w:eastAsia="zh-CN" w:bidi="ar"/>
              </w:rPr>
              <w:t>/</w:t>
            </w:r>
            <w:r>
              <w:rPr>
                <w:rStyle w:val="11"/>
                <w:rFonts w:hAnsi="Tahoma"/>
                <w:sz w:val="18"/>
                <w:szCs w:val="18"/>
                <w:lang w:val="en-US" w:eastAsia="zh-CN" w:bidi="ar"/>
              </w:rPr>
              <w:t>型号</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02CE">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用户单位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A2AAD">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合同号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3171">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合同时间</w:t>
            </w:r>
            <w:r>
              <w:rPr>
                <w:rStyle w:val="12"/>
                <w:sz w:val="18"/>
                <w:szCs w:val="18"/>
                <w:lang w:val="en-US" w:eastAsia="zh-CN" w:bidi="ar"/>
              </w:rPr>
              <w:t>(</w:t>
            </w:r>
            <w:r>
              <w:rPr>
                <w:rStyle w:val="11"/>
                <w:rFonts w:hAnsi="Tahoma"/>
                <w:sz w:val="18"/>
                <w:szCs w:val="18"/>
                <w:lang w:val="en-US" w:eastAsia="zh-CN" w:bidi="ar"/>
              </w:rPr>
              <w:t>年</w:t>
            </w:r>
            <w:r>
              <w:rPr>
                <w:rStyle w:val="12"/>
                <w:sz w:val="18"/>
                <w:szCs w:val="18"/>
                <w:lang w:val="en-US" w:eastAsia="zh-CN" w:bidi="ar"/>
              </w:rPr>
              <w:t>/</w:t>
            </w:r>
            <w:r>
              <w:rPr>
                <w:rStyle w:val="11"/>
                <w:rFonts w:hAnsi="Tahoma"/>
                <w:sz w:val="18"/>
                <w:szCs w:val="18"/>
                <w:lang w:val="en-US" w:eastAsia="zh-CN" w:bidi="ar"/>
              </w:rPr>
              <w:t>月</w:t>
            </w:r>
            <w:r>
              <w:rPr>
                <w:rStyle w:val="12"/>
                <w:sz w:val="18"/>
                <w:szCs w:val="18"/>
                <w:lang w:val="en-US" w:eastAsia="zh-CN" w:bidi="ar"/>
              </w:rPr>
              <w:t>/</w:t>
            </w:r>
            <w:r>
              <w:rPr>
                <w:rStyle w:val="11"/>
                <w:rFonts w:hAnsi="Tahoma"/>
                <w:sz w:val="18"/>
                <w:szCs w:val="18"/>
                <w:lang w:val="en-US" w:eastAsia="zh-CN" w:bidi="ar"/>
              </w:rPr>
              <w:t>日</w:t>
            </w:r>
            <w:r>
              <w:rPr>
                <w:rStyle w:val="12"/>
                <w:sz w:val="18"/>
                <w:szCs w:val="18"/>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B294">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合同金额（万元）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2A2D">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发票号码</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72CF">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发票时间</w:t>
            </w:r>
            <w:r>
              <w:rPr>
                <w:rStyle w:val="12"/>
                <w:sz w:val="18"/>
                <w:szCs w:val="18"/>
                <w:lang w:val="en-US" w:eastAsia="zh-CN" w:bidi="ar"/>
              </w:rPr>
              <w:t>(</w:t>
            </w:r>
            <w:r>
              <w:rPr>
                <w:rStyle w:val="11"/>
                <w:rFonts w:hAnsi="Tahoma"/>
                <w:sz w:val="18"/>
                <w:szCs w:val="18"/>
                <w:lang w:val="en-US" w:eastAsia="zh-CN" w:bidi="ar"/>
              </w:rPr>
              <w:t>年</w:t>
            </w:r>
            <w:r>
              <w:rPr>
                <w:rStyle w:val="12"/>
                <w:sz w:val="18"/>
                <w:szCs w:val="18"/>
                <w:lang w:val="en-US" w:eastAsia="zh-CN" w:bidi="ar"/>
              </w:rPr>
              <w:t>/</w:t>
            </w:r>
            <w:r>
              <w:rPr>
                <w:rStyle w:val="11"/>
                <w:rFonts w:hAnsi="Tahoma"/>
                <w:sz w:val="18"/>
                <w:szCs w:val="18"/>
                <w:lang w:val="en-US" w:eastAsia="zh-CN" w:bidi="ar"/>
              </w:rPr>
              <w:t>月</w:t>
            </w:r>
            <w:r>
              <w:rPr>
                <w:rStyle w:val="12"/>
                <w:sz w:val="18"/>
                <w:szCs w:val="18"/>
                <w:lang w:val="en-US" w:eastAsia="zh-CN" w:bidi="ar"/>
              </w:rPr>
              <w:t>/</w:t>
            </w:r>
            <w:r>
              <w:rPr>
                <w:rStyle w:val="11"/>
                <w:rFonts w:hAnsi="Tahoma"/>
                <w:sz w:val="18"/>
                <w:szCs w:val="18"/>
                <w:lang w:val="en-US" w:eastAsia="zh-CN" w:bidi="ar"/>
              </w:rPr>
              <w:t>日</w:t>
            </w:r>
            <w:r>
              <w:rPr>
                <w:rStyle w:val="12"/>
                <w:sz w:val="18"/>
                <w:szCs w:val="18"/>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B2F0">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发票金额（</w:t>
            </w:r>
            <w:r>
              <w:rPr>
                <w:rStyle w:val="11"/>
                <w:rFonts w:hint="eastAsia" w:hAnsi="Tahoma"/>
                <w:sz w:val="18"/>
                <w:szCs w:val="18"/>
                <w:lang w:val="en-US" w:eastAsia="zh-CN" w:bidi="ar"/>
              </w:rPr>
              <w:t>不</w:t>
            </w:r>
            <w:r>
              <w:rPr>
                <w:rStyle w:val="11"/>
                <w:rFonts w:hAnsi="Tahoma"/>
                <w:sz w:val="18"/>
                <w:szCs w:val="18"/>
                <w:lang w:val="en-US" w:eastAsia="zh-CN" w:bidi="ar"/>
              </w:rPr>
              <w:t>含税</w:t>
            </w:r>
            <w:r>
              <w:rPr>
                <w:rStyle w:val="12"/>
                <w:sz w:val="18"/>
                <w:szCs w:val="18"/>
                <w:lang w:val="en-US" w:eastAsia="zh-CN" w:bidi="ar"/>
              </w:rPr>
              <w:t>,</w:t>
            </w:r>
            <w:r>
              <w:rPr>
                <w:rStyle w:val="11"/>
                <w:rFonts w:hAnsi="Tahoma"/>
                <w:sz w:val="18"/>
                <w:szCs w:val="18"/>
                <w:lang w:val="en-US" w:eastAsia="zh-CN" w:bidi="ar"/>
              </w:rPr>
              <w:t>万元）</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8CE2">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收款时间</w:t>
            </w:r>
            <w:r>
              <w:rPr>
                <w:rStyle w:val="12"/>
                <w:sz w:val="18"/>
                <w:szCs w:val="18"/>
                <w:lang w:val="en-US" w:eastAsia="zh-CN" w:bidi="ar"/>
              </w:rPr>
              <w:t>(</w:t>
            </w:r>
            <w:r>
              <w:rPr>
                <w:rStyle w:val="11"/>
                <w:rFonts w:hAnsi="Tahoma"/>
                <w:sz w:val="18"/>
                <w:szCs w:val="18"/>
                <w:lang w:val="en-US" w:eastAsia="zh-CN" w:bidi="ar"/>
              </w:rPr>
              <w:t>年</w:t>
            </w:r>
            <w:r>
              <w:rPr>
                <w:rStyle w:val="12"/>
                <w:sz w:val="18"/>
                <w:szCs w:val="18"/>
                <w:lang w:val="en-US" w:eastAsia="zh-CN" w:bidi="ar"/>
              </w:rPr>
              <w:t>/</w:t>
            </w:r>
            <w:r>
              <w:rPr>
                <w:rStyle w:val="11"/>
                <w:rFonts w:hAnsi="Tahoma"/>
                <w:sz w:val="18"/>
                <w:szCs w:val="18"/>
                <w:lang w:val="en-US" w:eastAsia="zh-CN" w:bidi="ar"/>
              </w:rPr>
              <w:t>月</w:t>
            </w:r>
            <w:r>
              <w:rPr>
                <w:rStyle w:val="12"/>
                <w:sz w:val="18"/>
                <w:szCs w:val="18"/>
                <w:lang w:val="en-US" w:eastAsia="zh-CN" w:bidi="ar"/>
              </w:rPr>
              <w:t>/</w:t>
            </w:r>
            <w:r>
              <w:rPr>
                <w:rStyle w:val="11"/>
                <w:rFonts w:hAnsi="Tahoma"/>
                <w:sz w:val="18"/>
                <w:szCs w:val="18"/>
                <w:lang w:val="en-US" w:eastAsia="zh-CN" w:bidi="ar"/>
              </w:rPr>
              <w:t>日</w:t>
            </w:r>
            <w:r>
              <w:rPr>
                <w:rStyle w:val="12"/>
                <w:sz w:val="18"/>
                <w:szCs w:val="18"/>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7B60">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收款金额（万元）</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9A26">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是否关联交易</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1B3D9">
            <w:pPr>
              <w:keepNext w:val="0"/>
              <w:keepLines w:val="0"/>
              <w:widowControl/>
              <w:suppressLineNumbers w:val="0"/>
              <w:jc w:val="center"/>
              <w:textAlignment w:val="center"/>
              <w:rPr>
                <w:rFonts w:hint="eastAsia" w:ascii="仿宋_GB2312" w:hAnsi="宋体" w:eastAsia="仿宋_GB2312" w:cs="仿宋_GB2312"/>
                <w:i w:val="0"/>
                <w:color w:val="000000"/>
                <w:sz w:val="18"/>
                <w:szCs w:val="18"/>
                <w:u w:val="none"/>
              </w:rPr>
            </w:pPr>
            <w:r>
              <w:rPr>
                <w:rFonts w:hint="eastAsia" w:ascii="仿宋_GB2312" w:hAnsi="宋体" w:eastAsia="仿宋_GB2312" w:cs="仿宋_GB2312"/>
                <w:i w:val="0"/>
                <w:color w:val="000000"/>
                <w:kern w:val="0"/>
                <w:sz w:val="18"/>
                <w:szCs w:val="18"/>
                <w:u w:val="none"/>
                <w:lang w:val="en-US" w:eastAsia="zh-CN" w:bidi="ar"/>
              </w:rPr>
              <w:t>事务所审定金额（不含税,万元）</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D78E">
            <w:pPr>
              <w:keepNext w:val="0"/>
              <w:keepLines w:val="0"/>
              <w:widowControl/>
              <w:suppressLineNumbers w:val="0"/>
              <w:jc w:val="center"/>
              <w:textAlignment w:val="center"/>
              <w:rPr>
                <w:rFonts w:hint="default" w:ascii="Tahoma" w:hAnsi="Tahoma" w:eastAsia="Tahoma" w:cs="Tahoma"/>
                <w:i w:val="0"/>
                <w:color w:val="000000"/>
                <w:sz w:val="18"/>
                <w:szCs w:val="18"/>
                <w:u w:val="none"/>
              </w:rPr>
            </w:pPr>
            <w:r>
              <w:rPr>
                <w:rStyle w:val="11"/>
                <w:rFonts w:hAnsi="Tahoma"/>
                <w:sz w:val="18"/>
                <w:szCs w:val="18"/>
                <w:lang w:val="en-US" w:eastAsia="zh-CN" w:bidi="ar"/>
              </w:rPr>
              <w:t>备注</w:t>
            </w:r>
          </w:p>
        </w:tc>
      </w:tr>
      <w:tr w14:paraId="641B9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1A76F">
            <w:pPr>
              <w:keepNext w:val="0"/>
              <w:keepLines w:val="0"/>
              <w:widowControl/>
              <w:suppressLineNumbers w:val="0"/>
              <w:jc w:val="center"/>
              <w:textAlignment w:val="center"/>
              <w:rPr>
                <w:rFonts w:hint="default" w:ascii="Tahoma" w:hAnsi="Tahoma" w:eastAsia="Tahoma" w:cs="Tahoma"/>
                <w:i w:val="0"/>
                <w:color w:val="000000"/>
                <w:sz w:val="18"/>
                <w:szCs w:val="18"/>
                <w:u w:val="none"/>
              </w:rPr>
            </w:pPr>
          </w:p>
        </w:tc>
        <w:tc>
          <w:tcPr>
            <w:tcW w:w="1050" w:type="dxa"/>
            <w:tcBorders>
              <w:top w:val="single" w:color="000000" w:sz="4" w:space="0"/>
              <w:left w:val="single" w:color="000000" w:sz="4" w:space="0"/>
              <w:bottom w:val="single" w:color="000000" w:sz="4" w:space="0"/>
              <w:right w:val="nil"/>
            </w:tcBorders>
            <w:shd w:val="clear" w:color="auto" w:fill="auto"/>
            <w:vAlign w:val="center"/>
          </w:tcPr>
          <w:p w14:paraId="3824D45D">
            <w:pPr>
              <w:keepNext w:val="0"/>
              <w:keepLines w:val="0"/>
              <w:widowControl/>
              <w:suppressLineNumbers w:val="0"/>
              <w:jc w:val="left"/>
              <w:textAlignment w:val="center"/>
              <w:rPr>
                <w:rFonts w:hint="eastAsia" w:ascii="仿宋_GB2312" w:hAnsi="宋体" w:eastAsia="仿宋_GB2312" w:cs="仿宋_GB2312"/>
                <w:i w:val="0"/>
                <w:color w:val="000000"/>
                <w:sz w:val="18"/>
                <w:szCs w:val="18"/>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86AE">
            <w:pPr>
              <w:keepNext w:val="0"/>
              <w:keepLines w:val="0"/>
              <w:widowControl/>
              <w:suppressLineNumbers w:val="0"/>
              <w:jc w:val="center"/>
              <w:textAlignment w:val="center"/>
              <w:rPr>
                <w:rFonts w:hint="default" w:ascii="Tahoma" w:hAnsi="Tahoma" w:eastAsia="Tahoma" w:cs="Tahoma"/>
                <w:i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A3E4">
            <w:pPr>
              <w:keepNext w:val="0"/>
              <w:keepLines w:val="0"/>
              <w:widowControl/>
              <w:suppressLineNumbers w:val="0"/>
              <w:jc w:val="center"/>
              <w:textAlignment w:val="center"/>
              <w:rPr>
                <w:rFonts w:hint="default" w:ascii="Tahoma" w:hAnsi="Tahoma" w:eastAsia="Tahoma" w:cs="Tahoma"/>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DA90">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0575">
            <w:pPr>
              <w:keepNext w:val="0"/>
              <w:keepLines w:val="0"/>
              <w:widowControl/>
              <w:suppressLineNumbers w:val="0"/>
              <w:jc w:val="center"/>
              <w:textAlignment w:val="center"/>
              <w:rPr>
                <w:rFonts w:hint="default" w:ascii="Tahoma" w:hAnsi="Tahoma" w:eastAsia="Tahoma" w:cs="Tahoma"/>
                <w:i w:val="0"/>
                <w:color w:val="000000"/>
                <w:sz w:val="18"/>
                <w:szCs w:val="1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DD08A">
            <w:pPr>
              <w:keepNext w:val="0"/>
              <w:keepLines w:val="0"/>
              <w:widowControl/>
              <w:suppressLineNumbers w:val="0"/>
              <w:jc w:val="center"/>
              <w:textAlignment w:val="center"/>
              <w:rPr>
                <w:rFonts w:hint="default" w:ascii="Tahoma" w:hAnsi="Tahoma" w:eastAsia="Tahoma" w:cs="Tahoma"/>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549B">
            <w:pPr>
              <w:keepNext w:val="0"/>
              <w:keepLines w:val="0"/>
              <w:widowControl/>
              <w:suppressLineNumbers w:val="0"/>
              <w:jc w:val="center"/>
              <w:textAlignment w:val="center"/>
              <w:rPr>
                <w:rFonts w:hint="default" w:ascii="Tahoma" w:hAnsi="Tahoma" w:eastAsia="Tahoma" w:cs="Tahoma"/>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AA01">
            <w:pPr>
              <w:keepNext w:val="0"/>
              <w:keepLines w:val="0"/>
              <w:widowControl/>
              <w:suppressLineNumbers w:val="0"/>
              <w:jc w:val="center"/>
              <w:textAlignment w:val="center"/>
              <w:rPr>
                <w:rFonts w:hint="default" w:ascii="Tahoma" w:hAnsi="Tahoma" w:eastAsia="Tahoma" w:cs="Tahoma"/>
                <w:i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7335">
            <w:pPr>
              <w:keepNext w:val="0"/>
              <w:keepLines w:val="0"/>
              <w:widowControl/>
              <w:suppressLineNumbers w:val="0"/>
              <w:jc w:val="center"/>
              <w:textAlignment w:val="center"/>
              <w:rPr>
                <w:rFonts w:hint="default" w:ascii="Tahoma" w:hAnsi="Tahoma" w:eastAsia="Tahoma" w:cs="Tahoma"/>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7CF9">
            <w:pPr>
              <w:keepNext w:val="0"/>
              <w:keepLines w:val="0"/>
              <w:widowControl/>
              <w:suppressLineNumbers w:val="0"/>
              <w:jc w:val="center"/>
              <w:textAlignment w:val="center"/>
              <w:rPr>
                <w:rFonts w:hint="default" w:ascii="Tahoma" w:hAnsi="Tahoma" w:eastAsia="Tahoma" w:cs="Tahoma"/>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8FD7">
            <w:pPr>
              <w:keepNext w:val="0"/>
              <w:keepLines w:val="0"/>
              <w:widowControl/>
              <w:suppressLineNumbers w:val="0"/>
              <w:jc w:val="left"/>
              <w:textAlignment w:val="center"/>
              <w:rPr>
                <w:rFonts w:hint="default" w:ascii="Tahoma" w:hAnsi="Tahoma" w:eastAsia="Tahoma" w:cs="Tahoma"/>
                <w:i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1988">
            <w:pPr>
              <w:keepNext w:val="0"/>
              <w:keepLines w:val="0"/>
              <w:widowControl/>
              <w:suppressLineNumbers w:val="0"/>
              <w:jc w:val="right"/>
              <w:textAlignment w:val="center"/>
              <w:rPr>
                <w:rFonts w:hint="default" w:ascii="Tahoma" w:hAnsi="Tahoma" w:eastAsia="Tahoma" w:cs="Tahoma"/>
                <w:i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C459">
            <w:pPr>
              <w:keepNext w:val="0"/>
              <w:keepLines w:val="0"/>
              <w:widowControl/>
              <w:suppressLineNumbers w:val="0"/>
              <w:jc w:val="center"/>
              <w:textAlignment w:val="center"/>
              <w:rPr>
                <w:rFonts w:hint="default" w:ascii="Tahoma" w:hAnsi="Tahoma" w:eastAsia="Tahoma" w:cs="Tahoma"/>
                <w:i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9A5D">
            <w:pPr>
              <w:keepNext w:val="0"/>
              <w:keepLines w:val="0"/>
              <w:widowControl/>
              <w:suppressLineNumbers w:val="0"/>
              <w:jc w:val="right"/>
              <w:textAlignment w:val="center"/>
              <w:rPr>
                <w:rFonts w:hint="default" w:ascii="Tahoma" w:hAnsi="Tahoma" w:eastAsia="Tahoma" w:cs="Tahoma"/>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1052">
            <w:pPr>
              <w:rPr>
                <w:rFonts w:hint="default" w:ascii="Tahoma" w:hAnsi="Tahoma" w:eastAsia="Tahoma" w:cs="Tahoma"/>
                <w:i w:val="0"/>
                <w:color w:val="000000"/>
                <w:sz w:val="18"/>
                <w:szCs w:val="18"/>
                <w:u w:val="none"/>
              </w:rPr>
            </w:pPr>
          </w:p>
        </w:tc>
      </w:tr>
      <w:tr w14:paraId="7749E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635" w:type="dxa"/>
            <w:gridSpan w:val="2"/>
            <w:tcBorders>
              <w:top w:val="nil"/>
              <w:left w:val="single" w:color="000000" w:sz="4" w:space="0"/>
              <w:bottom w:val="single" w:color="000000" w:sz="4" w:space="0"/>
              <w:right w:val="nil"/>
            </w:tcBorders>
            <w:shd w:val="clear" w:color="auto" w:fill="auto"/>
            <w:vAlign w:val="center"/>
          </w:tcPr>
          <w:p w14:paraId="6040007C">
            <w:pPr>
              <w:keepNext w:val="0"/>
              <w:keepLines w:val="0"/>
              <w:widowControl/>
              <w:suppressLineNumbers w:val="0"/>
              <w:jc w:val="center"/>
              <w:textAlignment w:val="center"/>
              <w:rPr>
                <w:rFonts w:hint="default" w:ascii="Tahoma" w:hAnsi="Tahoma" w:eastAsia="Tahoma" w:cs="Tahoma"/>
                <w:i w:val="0"/>
                <w:color w:val="000000"/>
                <w:sz w:val="20"/>
                <w:szCs w:val="20"/>
                <w:u w:val="none"/>
              </w:rPr>
            </w:pPr>
            <w:r>
              <w:rPr>
                <w:rStyle w:val="11"/>
                <w:rFonts w:hAnsi="Tahoma"/>
                <w:lang w:val="en-US" w:eastAsia="zh-CN" w:bidi="ar"/>
              </w:rPr>
              <w:t>合计</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0635">
            <w:pPr>
              <w:keepNext w:val="0"/>
              <w:keepLines w:val="0"/>
              <w:widowControl/>
              <w:suppressLineNumbers w:val="0"/>
              <w:jc w:val="center"/>
              <w:textAlignment w:val="center"/>
              <w:rPr>
                <w:rFonts w:hint="default" w:ascii="Tahoma" w:hAnsi="Tahoma" w:eastAsia="Tahoma" w:cs="Tahoma"/>
                <w:i w:val="0"/>
                <w:color w:val="000000"/>
                <w:sz w:val="20"/>
                <w:szCs w:val="20"/>
                <w:u w:val="none"/>
              </w:rPr>
            </w:pPr>
          </w:p>
        </w:tc>
        <w:tc>
          <w:tcPr>
            <w:tcW w:w="37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CCE9F5">
            <w:pPr>
              <w:jc w:val="center"/>
              <w:rPr>
                <w:rFonts w:hint="default" w:ascii="Tahoma" w:hAnsi="Tahoma" w:eastAsia="Tahoma" w:cs="Tahoma"/>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CBB8">
            <w:pPr>
              <w:keepNext w:val="0"/>
              <w:keepLines w:val="0"/>
              <w:widowControl/>
              <w:suppressLineNumbers w:val="0"/>
              <w:jc w:val="center"/>
              <w:textAlignment w:val="center"/>
              <w:rPr>
                <w:rFonts w:hint="default" w:ascii="Tahoma" w:hAnsi="Tahoma" w:eastAsia="Tahoma" w:cs="Tahoma"/>
                <w:b/>
                <w:i w:val="0"/>
                <w:color w:val="000000"/>
                <w:sz w:val="20"/>
                <w:szCs w:val="20"/>
                <w:u w:val="none"/>
              </w:rPr>
            </w:pP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2BAE4">
            <w:pPr>
              <w:jc w:val="center"/>
              <w:rPr>
                <w:rFonts w:hint="default" w:ascii="Tahoma" w:hAnsi="Tahoma" w:eastAsia="Tahoma" w:cs="Tahoma"/>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E1A2">
            <w:pPr>
              <w:keepNext w:val="0"/>
              <w:keepLines w:val="0"/>
              <w:widowControl/>
              <w:suppressLineNumbers w:val="0"/>
              <w:jc w:val="center"/>
              <w:textAlignment w:val="center"/>
              <w:rPr>
                <w:rFonts w:hint="default" w:ascii="Tahoma" w:hAnsi="Tahoma" w:eastAsia="Tahoma" w:cs="Tahoma"/>
                <w:b/>
                <w:i w:val="0"/>
                <w:color w:val="000000"/>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1039">
            <w:pPr>
              <w:jc w:val="center"/>
              <w:rPr>
                <w:rFonts w:hint="default" w:ascii="Tahoma" w:hAnsi="Tahoma" w:eastAsia="Tahoma" w:cs="Tahoma"/>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8421">
            <w:pPr>
              <w:keepNext w:val="0"/>
              <w:keepLines w:val="0"/>
              <w:widowControl/>
              <w:suppressLineNumbers w:val="0"/>
              <w:jc w:val="center"/>
              <w:textAlignment w:val="center"/>
              <w:rPr>
                <w:rFonts w:hint="default" w:ascii="Tahoma" w:hAnsi="Tahoma" w:eastAsia="Tahoma" w:cs="Tahoma"/>
                <w:b/>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AA25">
            <w:pPr>
              <w:rPr>
                <w:rFonts w:hint="default" w:ascii="Tahoma" w:hAnsi="Tahoma" w:eastAsia="Tahoma" w:cs="Tahoma"/>
                <w:i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1D39">
            <w:pPr>
              <w:keepNext w:val="0"/>
              <w:keepLines w:val="0"/>
              <w:widowControl/>
              <w:suppressLineNumbers w:val="0"/>
              <w:jc w:val="center"/>
              <w:textAlignment w:val="center"/>
              <w:rPr>
                <w:rFonts w:hint="default" w:ascii="Tahoma" w:hAnsi="Tahoma" w:eastAsia="Tahoma" w:cs="Tahoma"/>
                <w:b/>
                <w:i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B506">
            <w:pPr>
              <w:rPr>
                <w:rFonts w:hint="default" w:ascii="Tahoma" w:hAnsi="Tahoma" w:eastAsia="Tahoma" w:cs="Tahoma"/>
                <w:i w:val="0"/>
                <w:color w:val="000000"/>
                <w:sz w:val="20"/>
                <w:szCs w:val="20"/>
                <w:u w:val="none"/>
              </w:rPr>
            </w:pPr>
          </w:p>
        </w:tc>
      </w:tr>
      <w:tr w14:paraId="60A40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1250" w:type="dxa"/>
            <w:gridSpan w:val="12"/>
            <w:tcBorders>
              <w:top w:val="single" w:color="000000" w:sz="4" w:space="0"/>
              <w:left w:val="nil"/>
              <w:bottom w:val="nil"/>
              <w:right w:val="nil"/>
            </w:tcBorders>
            <w:shd w:val="clear" w:color="auto" w:fill="auto"/>
            <w:vAlign w:val="center"/>
          </w:tcPr>
          <w:p w14:paraId="4D0905A5">
            <w:pPr>
              <w:keepNext w:val="0"/>
              <w:keepLines w:val="0"/>
              <w:widowControl/>
              <w:suppressLineNumbers w:val="0"/>
              <w:jc w:val="left"/>
              <w:textAlignment w:val="center"/>
              <w:rPr>
                <w:rFonts w:hint="default" w:ascii="Tahoma" w:hAnsi="Tahoma" w:eastAsia="Tahoma" w:cs="Tahoma"/>
                <w:i w:val="0"/>
                <w:color w:val="000000"/>
                <w:sz w:val="20"/>
                <w:szCs w:val="20"/>
                <w:u w:val="none"/>
              </w:rPr>
            </w:pPr>
            <w:r>
              <w:rPr>
                <w:rStyle w:val="13"/>
                <w:lang w:val="en-US" w:eastAsia="zh-CN" w:bidi="ar"/>
              </w:rPr>
              <w:t>备注：产品名称要按发票名称填写。</w:t>
            </w:r>
          </w:p>
        </w:tc>
        <w:tc>
          <w:tcPr>
            <w:tcW w:w="1845" w:type="dxa"/>
            <w:gridSpan w:val="2"/>
            <w:tcBorders>
              <w:top w:val="nil"/>
              <w:left w:val="nil"/>
              <w:bottom w:val="nil"/>
              <w:right w:val="nil"/>
            </w:tcBorders>
            <w:shd w:val="clear" w:color="auto" w:fill="auto"/>
            <w:vAlign w:val="center"/>
          </w:tcPr>
          <w:p w14:paraId="0C0CD26C">
            <w:pPr>
              <w:rPr>
                <w:rFonts w:hint="default" w:ascii="Tahoma" w:hAnsi="Tahoma" w:eastAsia="Tahoma" w:cs="Tahoma"/>
                <w:i w:val="0"/>
                <w:color w:val="000000"/>
                <w:sz w:val="20"/>
                <w:szCs w:val="20"/>
                <w:u w:val="none"/>
              </w:rPr>
            </w:pPr>
          </w:p>
        </w:tc>
        <w:tc>
          <w:tcPr>
            <w:tcW w:w="1965" w:type="dxa"/>
            <w:gridSpan w:val="2"/>
            <w:tcBorders>
              <w:top w:val="nil"/>
              <w:left w:val="nil"/>
              <w:bottom w:val="nil"/>
              <w:right w:val="nil"/>
            </w:tcBorders>
            <w:shd w:val="clear" w:color="auto" w:fill="auto"/>
            <w:vAlign w:val="center"/>
          </w:tcPr>
          <w:p w14:paraId="7E96B615">
            <w:pPr>
              <w:rPr>
                <w:rFonts w:hint="default" w:ascii="Tahoma" w:hAnsi="Tahoma" w:eastAsia="Tahoma" w:cs="Tahoma"/>
                <w:i w:val="0"/>
                <w:color w:val="000000"/>
                <w:sz w:val="20"/>
                <w:szCs w:val="20"/>
                <w:u w:val="none"/>
              </w:rPr>
            </w:pPr>
          </w:p>
        </w:tc>
      </w:tr>
    </w:tbl>
    <w:p w14:paraId="58E23235">
      <w:pPr>
        <w:pStyle w:val="2"/>
        <w:rPr>
          <w:rFonts w:hint="eastAsia"/>
          <w:lang w:eastAsia="zh-CN"/>
        </w:rPr>
      </w:pPr>
    </w:p>
    <w:sectPr>
      <w:pgSz w:w="16838" w:h="11906" w:orient="landscape"/>
      <w:pgMar w:top="1797" w:right="1440" w:bottom="1797" w:left="1440" w:header="851" w:footer="992" w:gutter="0"/>
      <w:cols w:space="0" w:num="1"/>
      <w:rtlGutter w:val="0"/>
      <w:docGrid w:type="linesAndChars" w:linePitch="319"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7"/>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CFDDF580"/>
    <w:rsid w:val="00137238"/>
    <w:rsid w:val="00196E0B"/>
    <w:rsid w:val="001E0305"/>
    <w:rsid w:val="002730B0"/>
    <w:rsid w:val="00374179"/>
    <w:rsid w:val="003A1000"/>
    <w:rsid w:val="00436A91"/>
    <w:rsid w:val="005845A9"/>
    <w:rsid w:val="00603C22"/>
    <w:rsid w:val="00671537"/>
    <w:rsid w:val="007D29D9"/>
    <w:rsid w:val="007E4FC0"/>
    <w:rsid w:val="007F3B57"/>
    <w:rsid w:val="00952310"/>
    <w:rsid w:val="00954CF0"/>
    <w:rsid w:val="009A08F9"/>
    <w:rsid w:val="00B526B3"/>
    <w:rsid w:val="00B534B7"/>
    <w:rsid w:val="00CD3C8D"/>
    <w:rsid w:val="00D848B2"/>
    <w:rsid w:val="00EF3EA3"/>
    <w:rsid w:val="00EF5F10"/>
    <w:rsid w:val="00F83103"/>
    <w:rsid w:val="00FA5158"/>
    <w:rsid w:val="00FA7F05"/>
    <w:rsid w:val="01971FD2"/>
    <w:rsid w:val="06646911"/>
    <w:rsid w:val="0D0D2936"/>
    <w:rsid w:val="13316F92"/>
    <w:rsid w:val="14E344DD"/>
    <w:rsid w:val="15F781B1"/>
    <w:rsid w:val="1F6B3246"/>
    <w:rsid w:val="243400AF"/>
    <w:rsid w:val="251E4708"/>
    <w:rsid w:val="29752C00"/>
    <w:rsid w:val="31E90DBA"/>
    <w:rsid w:val="326605B6"/>
    <w:rsid w:val="35080747"/>
    <w:rsid w:val="37AB5883"/>
    <w:rsid w:val="3EFF4B0E"/>
    <w:rsid w:val="3FE83739"/>
    <w:rsid w:val="407C67F9"/>
    <w:rsid w:val="499C7556"/>
    <w:rsid w:val="4A6303B5"/>
    <w:rsid w:val="4F950B2F"/>
    <w:rsid w:val="50E8313B"/>
    <w:rsid w:val="53A50C35"/>
    <w:rsid w:val="56F3085D"/>
    <w:rsid w:val="5CCF1DFE"/>
    <w:rsid w:val="5DBF6DC8"/>
    <w:rsid w:val="5E3FDAEC"/>
    <w:rsid w:val="5F3C3E83"/>
    <w:rsid w:val="5FDE758E"/>
    <w:rsid w:val="687F3E4D"/>
    <w:rsid w:val="6B670320"/>
    <w:rsid w:val="6BFD0647"/>
    <w:rsid w:val="6CFD0056"/>
    <w:rsid w:val="6E6B0B8C"/>
    <w:rsid w:val="71C62CEE"/>
    <w:rsid w:val="73AC403D"/>
    <w:rsid w:val="7563498F"/>
    <w:rsid w:val="776FEC06"/>
    <w:rsid w:val="7A3A20FF"/>
    <w:rsid w:val="7BFF8282"/>
    <w:rsid w:val="7DFEC782"/>
    <w:rsid w:val="7E6763D7"/>
    <w:rsid w:val="7F381D73"/>
    <w:rsid w:val="7F772F8D"/>
    <w:rsid w:val="7FBC6457"/>
    <w:rsid w:val="8FF7F027"/>
    <w:rsid w:val="997F666A"/>
    <w:rsid w:val="9FDF2BFF"/>
    <w:rsid w:val="B3FF76E8"/>
    <w:rsid w:val="B4EBE5FF"/>
    <w:rsid w:val="B62EA75E"/>
    <w:rsid w:val="BFF3BF22"/>
    <w:rsid w:val="CFDDF580"/>
    <w:rsid w:val="E2BF6CDC"/>
    <w:rsid w:val="EF0FD39D"/>
    <w:rsid w:val="EFFDC2B7"/>
    <w:rsid w:val="F47FD659"/>
    <w:rsid w:val="F6FE4E29"/>
    <w:rsid w:val="FB67FEB5"/>
    <w:rsid w:val="FBDF5618"/>
    <w:rsid w:val="FEFD317D"/>
    <w:rsid w:val="FF856F6D"/>
    <w:rsid w:val="FFBB7450"/>
    <w:rsid w:val="FFFC848E"/>
    <w:rsid w:val="FFFD8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paragraph" w:customStyle="1" w:styleId="8">
    <w:name w:val="_Style 2"/>
    <w:basedOn w:val="1"/>
    <w:qFormat/>
    <w:uiPriority w:val="34"/>
    <w:pPr>
      <w:ind w:firstLine="420" w:firstLineChars="200"/>
    </w:pPr>
  </w:style>
  <w:style w:type="paragraph" w:customStyle="1" w:styleId="9">
    <w:name w:val="正文1"/>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0">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11">
    <w:name w:val="font81"/>
    <w:basedOn w:val="6"/>
    <w:qFormat/>
    <w:uiPriority w:val="0"/>
    <w:rPr>
      <w:rFonts w:hint="eastAsia" w:ascii="仿宋_GB2312" w:eastAsia="仿宋_GB2312" w:cs="仿宋_GB2312"/>
      <w:color w:val="000000"/>
      <w:sz w:val="20"/>
      <w:szCs w:val="20"/>
      <w:u w:val="none"/>
    </w:rPr>
  </w:style>
  <w:style w:type="character" w:customStyle="1" w:styleId="12">
    <w:name w:val="font71"/>
    <w:basedOn w:val="6"/>
    <w:qFormat/>
    <w:uiPriority w:val="0"/>
    <w:rPr>
      <w:rFonts w:hint="default" w:ascii="Tahoma" w:hAnsi="Tahoma" w:eastAsia="Tahoma" w:cs="Tahoma"/>
      <w:color w:val="000000"/>
      <w:sz w:val="20"/>
      <w:szCs w:val="20"/>
      <w:u w:val="none"/>
    </w:rPr>
  </w:style>
  <w:style w:type="character" w:customStyle="1" w:styleId="13">
    <w:name w:val="font5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6684</Words>
  <Characters>985</Characters>
  <Lines>8</Lines>
  <Paragraphs>15</Paragraphs>
  <TotalTime>14</TotalTime>
  <ScaleCrop>false</ScaleCrop>
  <LinksUpToDate>false</LinksUpToDate>
  <CharactersWithSpaces>7654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2022-08-31T21:22:00Z</dcterms:created>
  <dc:creator>uos</dc:creator>
  <cp:lastModifiedBy>Administrator</cp:lastModifiedBy>
  <cp:lastPrinted>2026-06-26T07:50:00Z</cp:lastPrinted>
  <dcterms:modified xsi:type="dcterms:W3CDTF">2026-06-26T09:07:13Z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9F89A2B307FC4A60A2870059CB71C85F_12</vt:lpwstr>
  </property>
</Properties>
</file>