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spacing w:line="7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72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东莞市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工业和信息化局</w:t>
      </w:r>
      <w:r>
        <w:rPr>
          <w:rFonts w:hint="eastAsia" w:eastAsia="方正小标宋简体"/>
          <w:sz w:val="44"/>
          <w:szCs w:val="44"/>
          <w:highlight w:val="none"/>
        </w:rPr>
        <w:t>2025</w:t>
      </w:r>
      <w:r>
        <w:rPr>
          <w:rFonts w:eastAsia="方正小标宋简体"/>
          <w:sz w:val="44"/>
          <w:szCs w:val="44"/>
          <w:highlight w:val="none"/>
        </w:rPr>
        <w:t>年度行政许可</w:t>
      </w:r>
    </w:p>
    <w:p>
      <w:pPr>
        <w:spacing w:line="72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实施和监督管理情况报告</w:t>
      </w:r>
    </w:p>
    <w:p>
      <w:pPr>
        <w:spacing w:line="600" w:lineRule="exact"/>
        <w:jc w:val="center"/>
        <w:rPr>
          <w:rFonts w:eastAsia="楷体_GB2312"/>
          <w:highlight w:val="none"/>
        </w:rPr>
      </w:pPr>
    </w:p>
    <w:p>
      <w:pPr>
        <w:ind w:firstLine="640" w:firstLineChars="200"/>
        <w:rPr>
          <w:highlight w:val="none"/>
        </w:rPr>
      </w:pPr>
      <w:r>
        <w:rPr>
          <w:rFonts w:hint="eastAsia"/>
          <w:highlight w:val="none"/>
        </w:rPr>
        <w:t>根据《广东省行政许可监督管理条例》有关要求，东</w:t>
      </w:r>
      <w:bookmarkStart w:id="1" w:name="_GoBack"/>
      <w:bookmarkEnd w:id="1"/>
      <w:r>
        <w:rPr>
          <w:rFonts w:hint="eastAsia"/>
          <w:highlight w:val="none"/>
        </w:rPr>
        <w:t>莞市工业和信息化局对202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年度行政许可实施和监督管理情况进行了总结和自评，有关情况报告如下：</w:t>
      </w:r>
    </w:p>
    <w:p>
      <w:pPr>
        <w:ind w:firstLine="640" w:firstLineChars="200"/>
        <w:rPr>
          <w:rFonts w:eastAsia="黑体"/>
          <w:highlight w:val="none"/>
        </w:rPr>
      </w:pPr>
      <w:r>
        <w:rPr>
          <w:rFonts w:eastAsia="黑体"/>
          <w:highlight w:val="none"/>
        </w:rPr>
        <w:t>一、基本情况</w:t>
      </w:r>
    </w:p>
    <w:p>
      <w:pPr>
        <w:ind w:firstLine="640" w:firstLineChars="200"/>
        <w:rPr>
          <w:rFonts w:eastAsia="楷体_GB2312"/>
          <w:bCs/>
          <w:highlight w:val="none"/>
        </w:rPr>
      </w:pPr>
      <w:r>
        <w:rPr>
          <w:rFonts w:eastAsia="楷体_GB2312"/>
          <w:bCs/>
          <w:highlight w:val="none"/>
        </w:rPr>
        <w:t>（一）行政审批改革任务落实情况</w:t>
      </w:r>
    </w:p>
    <w:p>
      <w:pPr>
        <w:ind w:firstLine="640" w:firstLineChars="200"/>
        <w:rPr>
          <w:b/>
          <w:bCs/>
          <w:highlight w:val="none"/>
        </w:rPr>
      </w:pPr>
      <w:r>
        <w:rPr>
          <w:rFonts w:hint="eastAsia"/>
          <w:b w:val="0"/>
          <w:bCs w:val="0"/>
          <w:highlight w:val="none"/>
        </w:rPr>
        <w:t>截至202</w:t>
      </w:r>
      <w:r>
        <w:rPr>
          <w:rFonts w:hint="eastAsia"/>
          <w:b w:val="0"/>
          <w:bCs w:val="0"/>
          <w:highlight w:val="none"/>
          <w:lang w:val="en-US" w:eastAsia="zh-CN"/>
        </w:rPr>
        <w:t>5</w:t>
      </w:r>
      <w:r>
        <w:rPr>
          <w:rFonts w:hint="eastAsia"/>
          <w:b w:val="0"/>
          <w:bCs w:val="0"/>
          <w:highlight w:val="none"/>
        </w:rPr>
        <w:t>年底，市工业和信息化局共有行政许可事项1</w:t>
      </w:r>
      <w:r>
        <w:rPr>
          <w:rFonts w:hint="eastAsia"/>
          <w:b w:val="0"/>
          <w:bCs w:val="0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highlight w:val="none"/>
        </w:rPr>
        <w:t>项，共4</w:t>
      </w:r>
      <w:r>
        <w:rPr>
          <w:rFonts w:hint="eastAsia"/>
          <w:b w:val="0"/>
          <w:bCs w:val="0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highlight w:val="none"/>
        </w:rPr>
        <w:t>个子项，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根据粤府令248号、粤府令270号、粤府〔2019〕16号等文件，</w:t>
      </w:r>
      <w:r>
        <w:rPr>
          <w:rFonts w:hint="eastAsia"/>
          <w:b w:val="0"/>
          <w:bCs w:val="0"/>
          <w:highlight w:val="none"/>
        </w:rPr>
        <w:t>事项均由省工业和信息化厅委托行使实施。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1.</w:t>
      </w:r>
      <w:r>
        <w:rPr>
          <w:rFonts w:hint="eastAsia"/>
          <w:b/>
          <w:bCs/>
          <w:highlight w:val="none"/>
        </w:rPr>
        <w:t>2025</w:t>
      </w:r>
      <w:r>
        <w:rPr>
          <w:b/>
          <w:bCs/>
          <w:highlight w:val="none"/>
        </w:rPr>
        <w:t>年市本级取消、下放行政许可事项落实情况。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年，市工业和信息化局无市本级取消或新增下放行政许可事项。</w:t>
      </w:r>
    </w:p>
    <w:p>
      <w:pPr>
        <w:numPr>
          <w:ilvl w:val="0"/>
          <w:numId w:val="0"/>
        </w:numPr>
        <w:ind w:firstLine="642" w:firstLineChars="200"/>
        <w:rPr>
          <w:rFonts w:hint="eastAsia"/>
          <w:b w:val="0"/>
          <w:bCs w:val="0"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2.</w:t>
      </w:r>
      <w:r>
        <w:rPr>
          <w:b/>
          <w:bCs/>
          <w:highlight w:val="none"/>
        </w:rPr>
        <w:t>行政许可事项标准实施情况。</w:t>
      </w:r>
      <w:r>
        <w:rPr>
          <w:rFonts w:hint="eastAsia"/>
          <w:b w:val="0"/>
          <w:bCs w:val="0"/>
          <w:highlight w:val="none"/>
        </w:rPr>
        <w:t>市工业和信息化局所有行政许可事项均在广东省</w:t>
      </w:r>
      <w:r>
        <w:rPr>
          <w:rFonts w:hint="eastAsia"/>
          <w:b w:val="0"/>
          <w:bCs w:val="0"/>
          <w:highlight w:val="none"/>
          <w:lang w:val="en-US" w:eastAsia="zh-CN"/>
        </w:rPr>
        <w:t>政务服务事项管理</w:t>
      </w:r>
      <w:r>
        <w:rPr>
          <w:rFonts w:hint="eastAsia"/>
          <w:b w:val="0"/>
          <w:bCs w:val="0"/>
          <w:highlight w:val="none"/>
        </w:rPr>
        <w:t>系统完成登记，并实现标准化编制与落地应用。严格按照规范要求，对事项实施主体、实施依据、办理流程、申请条件、办理期限、受理范围、申请材料及办理方式、收费标准、咨询投诉渠道等核心要素开展标准化编制工作，同时结合法律法规、政策文件更新及工作实际，对相关标准要素实行动态调整、及时更新。</w:t>
      </w:r>
    </w:p>
    <w:p>
      <w:pPr>
        <w:ind w:firstLine="642" w:firstLineChars="200"/>
        <w:rPr>
          <w:color w:val="FF0000"/>
          <w:highlight w:val="none"/>
        </w:rPr>
      </w:pPr>
      <w:r>
        <w:rPr>
          <w:b/>
          <w:bCs/>
          <w:highlight w:val="none"/>
        </w:rPr>
        <w:t>3.</w:t>
      </w:r>
      <w:r>
        <w:rPr>
          <w:rFonts w:hint="eastAsia"/>
          <w:b/>
          <w:bCs/>
          <w:highlight w:val="none"/>
        </w:rPr>
        <w:t>2025</w:t>
      </w:r>
      <w:r>
        <w:rPr>
          <w:b/>
          <w:bCs/>
          <w:highlight w:val="none"/>
        </w:rPr>
        <w:t>年市本级清理规范行政审批中介服务事项落实情况。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年市工业和信息化局暂无本级清理规范行政审批中介服务事项情况。</w:t>
      </w:r>
    </w:p>
    <w:p>
      <w:pPr>
        <w:ind w:firstLine="640" w:firstLineChars="200"/>
        <w:rPr>
          <w:rFonts w:eastAsia="楷体_GB2312"/>
          <w:bCs/>
          <w:highlight w:val="none"/>
        </w:rPr>
      </w:pPr>
      <w:r>
        <w:rPr>
          <w:rFonts w:eastAsia="楷体_GB2312"/>
          <w:bCs/>
          <w:highlight w:val="none"/>
        </w:rPr>
        <w:t>（二）行政许可事项实施情况</w:t>
      </w:r>
    </w:p>
    <w:p>
      <w:pPr>
        <w:ind w:firstLine="642" w:firstLineChars="200"/>
        <w:rPr>
          <w:color w:val="000000"/>
          <w:highlight w:val="none"/>
        </w:rPr>
      </w:pPr>
      <w:r>
        <w:rPr>
          <w:b/>
          <w:bCs/>
          <w:color w:val="000000"/>
          <w:highlight w:val="none"/>
        </w:rPr>
        <w:t>4.事项办理情况。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市工业和信息化局</w:t>
      </w:r>
      <w:r>
        <w:rPr>
          <w:rFonts w:ascii="Times New Roman" w:hAnsi="Times New Roman" w:eastAsia="仿宋_GB2312"/>
          <w:sz w:val="32"/>
          <w:szCs w:val="32"/>
          <w:highlight w:val="none"/>
        </w:rPr>
        <w:t>行政许可事项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已全部进驻广东政务服务网，进驻率为100%。其中无线电频率使用许可、无线电台（站）的设置使用和呼号指配审批等事项可实行网上全流程办理，在广东政务服务网和广东省无线电管理业务云平台进行审批办理。</w:t>
      </w:r>
    </w:p>
    <w:p>
      <w:pPr>
        <w:ind w:firstLine="642" w:firstLineChars="200"/>
        <w:rPr>
          <w:b/>
          <w:bCs/>
          <w:highlight w:val="none"/>
        </w:rPr>
      </w:pPr>
      <w:r>
        <w:rPr>
          <w:b/>
          <w:bCs/>
          <w:highlight w:val="none"/>
        </w:rPr>
        <w:t>5.事项办结情况。</w:t>
      </w:r>
      <w:r>
        <w:rPr>
          <w:rFonts w:hint="eastAsia" w:ascii="Times New Roman" w:hAnsi="Times New Roman" w:eastAsia="仿宋_GB2312"/>
          <w:sz w:val="32"/>
          <w:szCs w:val="32"/>
        </w:rPr>
        <w:t>2025年，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市工业和信息化局行政许可业务受理量为</w:t>
      </w:r>
      <w:r>
        <w:rPr>
          <w:rFonts w:hint="eastAsia"/>
          <w:sz w:val="32"/>
          <w:szCs w:val="32"/>
          <w:highlight w:val="none"/>
          <w:lang w:val="en-US" w:eastAsia="zh-CN"/>
        </w:rPr>
        <w:t>243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宗</w:t>
      </w:r>
      <w:r>
        <w:rPr>
          <w:rFonts w:hint="eastAsia" w:ascii="Times New Roman" w:hAnsi="Times New Roman" w:eastAsia="仿宋_GB2312"/>
          <w:sz w:val="32"/>
          <w:szCs w:val="32"/>
        </w:rPr>
        <w:t>，其中业务量前三的事项分别为“无线电台（站）的设置、使用许可和无线电台识别码核发”2</w:t>
      </w:r>
      <w:r>
        <w:rPr>
          <w:rFonts w:hint="eastAsia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宗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“无线电频率使用许可”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宗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“第二类监控化学品使用许可”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宗。2025年事项办结率100%，网上办结率100%，超期办结数和超期办结率为0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6.公开公示情况。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市工业和信息化局所有行政许可事项均已在</w:t>
      </w:r>
      <w:r>
        <w:rPr>
          <w:rFonts w:hint="eastAsia"/>
          <w:sz w:val="32"/>
          <w:szCs w:val="32"/>
          <w:highlight w:val="none"/>
          <w:lang w:val="en-US" w:eastAsia="zh-CN"/>
        </w:rPr>
        <w:t>广东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政务服务网公开</w:t>
      </w:r>
      <w:r>
        <w:rPr>
          <w:rFonts w:ascii="Times New Roman" w:hAnsi="Times New Roman" w:eastAsia="仿宋_GB2312"/>
          <w:sz w:val="32"/>
          <w:szCs w:val="32"/>
          <w:highlight w:val="none"/>
        </w:rPr>
        <w:t>办事指南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，依法主动公开相关信息。严格执行政务公开和公示工作要求，规范开展行政审批信息公示工作，并结合信用信息“双公示”制度，实现行政许可事项办理结果网上可查、公开可溯</w:t>
      </w:r>
      <w:r>
        <w:rPr>
          <w:highlight w:val="none"/>
        </w:rPr>
        <w:t>。</w:t>
      </w:r>
    </w:p>
    <w:p>
      <w:pPr>
        <w:ind w:firstLine="640" w:firstLineChars="200"/>
        <w:rPr>
          <w:rFonts w:eastAsia="楷体_GB2312"/>
          <w:bCs/>
          <w:highlight w:val="none"/>
        </w:rPr>
      </w:pPr>
      <w:r>
        <w:rPr>
          <w:rFonts w:eastAsia="楷体_GB2312"/>
          <w:bCs/>
          <w:highlight w:val="none"/>
        </w:rPr>
        <w:t>（三）加强事中事后监管情况</w:t>
      </w:r>
    </w:p>
    <w:p>
      <w:pPr>
        <w:ind w:firstLine="642" w:firstLineChars="200"/>
        <w:rPr>
          <w:b/>
          <w:bCs/>
          <w:highlight w:val="none"/>
        </w:rPr>
      </w:pPr>
      <w:r>
        <w:rPr>
          <w:b/>
          <w:bCs/>
          <w:highlight w:val="none"/>
        </w:rPr>
        <w:t>7.建立健全监管制度情况。</w:t>
      </w:r>
      <w:bookmarkStart w:id="0" w:name="OLE_LINK1"/>
      <w:r>
        <w:rPr>
          <w:rFonts w:hint="eastAsia"/>
          <w:b w:val="0"/>
          <w:bCs w:val="0"/>
          <w:highlight w:val="none"/>
          <w:lang w:val="en-US" w:eastAsia="zh-CN"/>
        </w:rPr>
        <w:t>制定印发</w:t>
      </w:r>
      <w:r>
        <w:rPr>
          <w:rFonts w:hint="eastAsia"/>
          <w:b w:val="0"/>
          <w:bCs w:val="0"/>
          <w:highlight w:val="none"/>
        </w:rPr>
        <w:t>年度“双随机、一公开”抽查计划</w:t>
      </w:r>
      <w:r>
        <w:rPr>
          <w:rFonts w:hint="eastAsia"/>
          <w:b w:val="0"/>
          <w:bCs w:val="0"/>
          <w:highlight w:val="none"/>
          <w:lang w:eastAsia="zh-CN"/>
        </w:rPr>
        <w:t>，明确随机抽查事项及抽查</w:t>
      </w:r>
      <w:r>
        <w:rPr>
          <w:rFonts w:hint="eastAsia"/>
          <w:b w:val="0"/>
          <w:bCs w:val="0"/>
          <w:highlight w:val="none"/>
          <w:lang w:val="en-US" w:eastAsia="zh-CN"/>
        </w:rPr>
        <w:t>要求</w:t>
      </w:r>
      <w:r>
        <w:rPr>
          <w:rFonts w:hint="eastAsia"/>
          <w:b w:val="0"/>
          <w:bCs w:val="0"/>
          <w:highlight w:val="none"/>
          <w:lang w:eastAsia="zh-CN"/>
        </w:rPr>
        <w:t>，</w:t>
      </w:r>
      <w:r>
        <w:rPr>
          <w:rFonts w:hint="eastAsia"/>
          <w:b w:val="0"/>
          <w:bCs w:val="0"/>
          <w:highlight w:val="none"/>
          <w:lang w:val="en-US" w:eastAsia="zh-CN"/>
        </w:rPr>
        <w:t>将“对在册无线电台（站）设置、使用情况的行政检查”、“对销售无线电发射设备情况的行政检查”、“民用爆炸物品安全生产综合检查”、“监控化学品企业现场监督检查”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等事项纳入“双随机、一公开”监管</w:t>
      </w:r>
      <w:r>
        <w:rPr>
          <w:rFonts w:hint="eastAsia"/>
          <w:sz w:val="32"/>
          <w:szCs w:val="32"/>
          <w:highlight w:val="none"/>
          <w:lang w:val="en-US" w:eastAsia="zh-CN"/>
        </w:rPr>
        <w:t>范畴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健全监管制度保障</w:t>
      </w:r>
      <w:bookmarkEnd w:id="0"/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，确保抽查工作规范有序、高效推进。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8.开展监管情况。</w:t>
      </w:r>
      <w:r>
        <w:rPr>
          <w:rFonts w:hint="eastAsia"/>
          <w:highlight w:val="none"/>
        </w:rPr>
        <w:t>2025年，</w:t>
      </w:r>
      <w:r>
        <w:rPr>
          <w:rFonts w:hint="eastAsia"/>
          <w:b w:val="0"/>
          <w:bCs w:val="0"/>
          <w:highlight w:val="none"/>
          <w:lang w:val="en-US" w:eastAsia="zh-CN"/>
        </w:rPr>
        <w:t>市工业和信息化</w:t>
      </w:r>
      <w:r>
        <w:rPr>
          <w:rFonts w:hint="eastAsia"/>
          <w:b w:val="0"/>
          <w:bCs w:val="0"/>
          <w:highlight w:val="none"/>
        </w:rPr>
        <w:t>局</w:t>
      </w:r>
      <w:r>
        <w:rPr>
          <w:rFonts w:hint="eastAsia"/>
          <w:highlight w:val="none"/>
        </w:rPr>
        <w:t>完成单部门抽查民爆销售主体1家、监控化学品主体1家；协同市市场监督管理局联合抽查销售无线电发射设备经营主体12家。对无线电频率和台站设置使用情况进行“双随机、一公开”行政检查4宗，并对往年发现存在违规行为的企业实施重点检查3宗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9.创新监管方式情况。</w:t>
      </w:r>
      <w:r>
        <w:rPr>
          <w:rFonts w:hint="eastAsia"/>
          <w:b w:val="0"/>
          <w:bCs w:val="0"/>
          <w:highlight w:val="none"/>
        </w:rPr>
        <w:t>积极创新监管方式，联合市市场监管局开展跨部门联合抽查，提升协同监管效能。检查过程中坚持监管与服务相结合，面对面了解企业生产经营情况，现场宣传无线电、民爆物品、监控化学品等行业法规政策，引导企业自觉守法经营，实现精准监管与优化服务同步推进。</w:t>
      </w:r>
    </w:p>
    <w:p>
      <w:pPr>
        <w:ind w:firstLine="640" w:firstLineChars="200"/>
        <w:rPr>
          <w:rFonts w:eastAsia="楷体_GB2312"/>
          <w:bCs/>
          <w:highlight w:val="none"/>
        </w:rPr>
      </w:pPr>
      <w:r>
        <w:rPr>
          <w:rFonts w:eastAsia="楷体_GB2312"/>
          <w:bCs/>
          <w:highlight w:val="none"/>
        </w:rPr>
        <w:t>（四）创新和优化服务情况</w:t>
      </w:r>
    </w:p>
    <w:p>
      <w:pPr>
        <w:ind w:firstLine="642" w:firstLineChars="200"/>
        <w:rPr>
          <w:b/>
          <w:bCs/>
          <w:highlight w:val="none"/>
        </w:rPr>
      </w:pPr>
      <w:r>
        <w:rPr>
          <w:b/>
          <w:bCs/>
          <w:highlight w:val="none"/>
        </w:rPr>
        <w:t>10.提高服务质量情况。</w:t>
      </w:r>
      <w:r>
        <w:rPr>
          <w:rFonts w:hint="eastAsia"/>
          <w:highlight w:val="none"/>
        </w:rPr>
        <w:t>坚持以企业需求为导向，创新政府信息公开模式，依托局官网、</w:t>
      </w:r>
      <w:r>
        <w:rPr>
          <w:rFonts w:hint="eastAsia"/>
          <w:highlight w:val="none"/>
          <w:lang w:val="en-US" w:eastAsia="zh-CN"/>
        </w:rPr>
        <w:t>微信公众号</w:t>
      </w:r>
      <w:r>
        <w:rPr>
          <w:rFonts w:hint="eastAsia"/>
          <w:highlight w:val="none"/>
        </w:rPr>
        <w:t>等载体，精准推送工信领域政策解读、</w:t>
      </w:r>
      <w:r>
        <w:rPr>
          <w:rFonts w:hint="eastAsia"/>
          <w:highlight w:val="none"/>
          <w:lang w:val="en-US" w:eastAsia="zh-CN"/>
        </w:rPr>
        <w:t>办事</w:t>
      </w:r>
      <w:r>
        <w:rPr>
          <w:rFonts w:hint="eastAsia"/>
          <w:highlight w:val="none"/>
        </w:rPr>
        <w:t>指南等信息，提升信息公开的便捷度和精准度。聚焦工信领域许可事项，进一步压缩审批时限、精简办事材料，</w:t>
      </w:r>
      <w:r>
        <w:rPr>
          <w:rFonts w:hint="eastAsia"/>
          <w:highlight w:val="none"/>
          <w:lang w:val="en-US" w:eastAsia="zh-CN"/>
        </w:rPr>
        <w:t>优化</w:t>
      </w:r>
      <w:r>
        <w:rPr>
          <w:rFonts w:hint="eastAsia"/>
          <w:highlight w:val="none"/>
        </w:rPr>
        <w:t>全流程网上审批</w:t>
      </w:r>
      <w:r>
        <w:rPr>
          <w:rFonts w:hint="eastAsia"/>
          <w:highlight w:val="none"/>
          <w:lang w:val="en-US" w:eastAsia="zh-CN"/>
        </w:rPr>
        <w:t>办理环节</w:t>
      </w:r>
      <w:r>
        <w:rPr>
          <w:rFonts w:hint="eastAsia"/>
          <w:highlight w:val="none"/>
        </w:rPr>
        <w:t>，切实提升企业和群众办事体验。</w:t>
      </w:r>
    </w:p>
    <w:p>
      <w:pPr>
        <w:ind w:firstLine="642" w:firstLineChars="200"/>
        <w:rPr>
          <w:b/>
          <w:bCs/>
          <w:highlight w:val="none"/>
        </w:rPr>
      </w:pPr>
      <w:r>
        <w:rPr>
          <w:b/>
          <w:bCs/>
          <w:highlight w:val="none"/>
        </w:rPr>
        <w:t>11.优化办理流程情况。</w:t>
      </w:r>
      <w:r>
        <w:rPr>
          <w:rFonts w:hint="eastAsia"/>
          <w:b w:val="0"/>
          <w:bCs w:val="0"/>
          <w:highlight w:val="none"/>
        </w:rPr>
        <w:t>严格按照政务服务标准化、规范化要求，精简申请、受理、审查、决定、送达等各环节流程，最大限度减少企业和群众跑腿次数，</w:t>
      </w:r>
      <w:r>
        <w:rPr>
          <w:rFonts w:hint="eastAsia"/>
          <w:b w:val="0"/>
          <w:bCs w:val="0"/>
          <w:highlight w:val="none"/>
          <w:lang w:eastAsia="zh-CN"/>
        </w:rPr>
        <w:t>切实提升审批服务效率</w:t>
      </w:r>
      <w:r>
        <w:rPr>
          <w:rFonts w:hint="eastAsia"/>
          <w:b w:val="0"/>
          <w:bCs w:val="0"/>
          <w:highlight w:val="none"/>
        </w:rPr>
        <w:t>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12.精简办事材料情况。</w:t>
      </w:r>
      <w:r>
        <w:rPr>
          <w:rFonts w:hint="eastAsia"/>
          <w:highlight w:val="none"/>
        </w:rPr>
        <w:t>严格落实减证便民要求，依托电子证照应用与政务数据共享，整合政务服务资源，精简办事材料。依托线上预约、证照快递送达等举措，推动</w:t>
      </w:r>
      <w:r>
        <w:rPr>
          <w:rFonts w:hint="eastAsia"/>
          <w:highlight w:val="none"/>
          <w:lang w:val="en-US" w:eastAsia="zh-CN"/>
        </w:rPr>
        <w:t>无线电相关</w:t>
      </w:r>
      <w:r>
        <w:rPr>
          <w:rFonts w:hint="eastAsia"/>
          <w:highlight w:val="none"/>
        </w:rPr>
        <w:t>高频事项实现“零跑动”办结。同时积极运用电子证照共享等方式，精简身份证、营业执照、电台执照等申报材料，切实减少企业和群众跑腿次数，持续提升审批服务效率与便利度。</w:t>
      </w:r>
    </w:p>
    <w:p>
      <w:pPr>
        <w:ind w:firstLine="642" w:firstLineChars="200"/>
        <w:rPr>
          <w:color w:val="FF0000"/>
          <w:highlight w:val="none"/>
        </w:rPr>
      </w:pPr>
      <w:r>
        <w:rPr>
          <w:b/>
          <w:bCs/>
          <w:highlight w:val="none"/>
        </w:rPr>
        <w:t>13.缩短办事时限情况。</w:t>
      </w:r>
      <w:r>
        <w:rPr>
          <w:rFonts w:hint="eastAsia"/>
          <w:b w:val="0"/>
          <w:bCs w:val="0"/>
          <w:highlight w:val="none"/>
          <w:lang w:val="en-US" w:eastAsia="zh-CN"/>
        </w:rPr>
        <w:t>市工业和信息化</w:t>
      </w:r>
      <w:r>
        <w:rPr>
          <w:rFonts w:hint="eastAsia"/>
          <w:b w:val="0"/>
          <w:bCs w:val="0"/>
          <w:highlight w:val="none"/>
        </w:rPr>
        <w:t>局行政许可事项承诺办理时限均低于法定时限，占比100%，涉及无线电频率使用许可、业余无线电台执照核发、民用爆炸物品安全生产许可、监控化学品生产等事项。通过推行线上预约、快递送达服务，切实提升审批效率，为企业群众办事减负增效。</w:t>
      </w:r>
    </w:p>
    <w:p>
      <w:pPr>
        <w:ind w:firstLine="640" w:firstLineChars="200"/>
        <w:rPr>
          <w:rFonts w:eastAsia="黑体"/>
          <w:highlight w:val="none"/>
        </w:rPr>
      </w:pPr>
      <w:r>
        <w:rPr>
          <w:rFonts w:eastAsia="黑体"/>
          <w:highlight w:val="none"/>
        </w:rPr>
        <w:t>二、取得成效</w:t>
      </w:r>
    </w:p>
    <w:p>
      <w:pPr>
        <w:ind w:firstLine="642" w:firstLineChars="200"/>
        <w:rPr>
          <w:b/>
          <w:bCs/>
          <w:highlight w:val="none"/>
        </w:rPr>
      </w:pPr>
      <w:r>
        <w:rPr>
          <w:b/>
          <w:bCs/>
          <w:highlight w:val="none"/>
        </w:rPr>
        <w:t>14.实施效果。</w:t>
      </w:r>
      <w:r>
        <w:rPr>
          <w:rFonts w:hint="eastAsia"/>
          <w:highlight w:val="none"/>
        </w:rPr>
        <w:t>通过依法规范实施行政许可，持续强化无线电、民爆物品、监控化学品等领域事中事后监管，有效维护市场秩序与行业安全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以高效审批服务赋能</w:t>
      </w:r>
      <w:r>
        <w:rPr>
          <w:rFonts w:hint="eastAsia"/>
          <w:highlight w:val="none"/>
          <w:lang w:val="en-US" w:eastAsia="zh-CN"/>
        </w:rPr>
        <w:t>行业</w:t>
      </w:r>
      <w:r>
        <w:rPr>
          <w:rFonts w:hint="eastAsia"/>
          <w:highlight w:val="none"/>
        </w:rPr>
        <w:t>主体发展</w:t>
      </w:r>
      <w:r>
        <w:rPr>
          <w:highlight w:val="none"/>
        </w:rPr>
        <w:t>。</w:t>
      </w:r>
    </w:p>
    <w:p>
      <w:pPr>
        <w:ind w:firstLine="642" w:firstLineChars="200"/>
        <w:rPr>
          <w:highlight w:val="none"/>
        </w:rPr>
      </w:pPr>
      <w:r>
        <w:rPr>
          <w:b/>
          <w:bCs/>
          <w:highlight w:val="none"/>
        </w:rPr>
        <w:t>15.服务对象对事项办理的满意程度和咨询、投诉举报办理情况。</w:t>
      </w:r>
      <w:r>
        <w:rPr>
          <w:rFonts w:hint="eastAsia"/>
          <w:highlight w:val="none"/>
        </w:rPr>
        <w:t>全年无涉及行政许可的投诉情况。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3122"/>
    <w:rsid w:val="0DDD75CE"/>
    <w:rsid w:val="0F5F09C4"/>
    <w:rsid w:val="19DB3122"/>
    <w:rsid w:val="27B24528"/>
    <w:rsid w:val="2A221E42"/>
    <w:rsid w:val="2B853357"/>
    <w:rsid w:val="3E717CAB"/>
    <w:rsid w:val="4C237FED"/>
    <w:rsid w:val="4CC84B86"/>
    <w:rsid w:val="50FB6D5A"/>
    <w:rsid w:val="583E3010"/>
    <w:rsid w:val="58A837E2"/>
    <w:rsid w:val="5E780EF1"/>
    <w:rsid w:val="63A20787"/>
    <w:rsid w:val="68AF4719"/>
    <w:rsid w:val="77040F34"/>
    <w:rsid w:val="771E0A96"/>
    <w:rsid w:val="796A2FAF"/>
    <w:rsid w:val="7A880E35"/>
    <w:rsid w:val="EF7F9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2026-03-26T15:51:00Z</dcterms:created>
  <dc:creator>Administrator</dc:creator>
  <cp:lastModifiedBy>uos</cp:lastModifiedBy>
  <dcterms:modified xsi:type="dcterms:W3CDTF">2026-03-31T15:45:59Z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6536B38B80D941FAA50853F40E9FD003_11</vt:lpwstr>
  </property>
</Properties>
</file>