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AC672">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14:paraId="0BEFDFDB">
      <w:pPr>
        <w:tabs>
          <w:tab w:val="left" w:pos="2062"/>
        </w:tabs>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项目申报指南</w:t>
      </w:r>
    </w:p>
    <w:p w14:paraId="6ACE2020">
      <w:pPr>
        <w:spacing w:line="560" w:lineRule="exact"/>
        <w:ind w:firstLine="640" w:firstLineChars="200"/>
        <w:rPr>
          <w:rFonts w:ascii="Times New Roman" w:hAnsi="Times New Roman" w:eastAsia="黑体" w:cs="Times New Roman"/>
          <w:sz w:val="32"/>
          <w:szCs w:val="32"/>
        </w:rPr>
      </w:pPr>
    </w:p>
    <w:p w14:paraId="199060FB">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一、奖补对象</w:t>
      </w:r>
    </w:p>
    <w:p w14:paraId="6BEA53C1">
      <w:pPr>
        <w:widowControl/>
        <w:spacing w:line="58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有效期内的省级专精特新中小企业</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不含国家专精特新“小巨人”企业</w:t>
      </w:r>
      <w:r>
        <w:rPr>
          <w:rFonts w:hint="eastAsia" w:ascii="Times New Roman" w:hAnsi="Times New Roman" w:eastAsia="仿宋_GB2312" w:cs="Times New Roman"/>
          <w:color w:val="000000"/>
          <w:kern w:val="0"/>
          <w:sz w:val="32"/>
          <w:szCs w:val="32"/>
          <w:lang w:bidi="ar"/>
        </w:rPr>
        <w:t>及</w:t>
      </w:r>
      <w:r>
        <w:rPr>
          <w:rFonts w:ascii="Times New Roman" w:hAnsi="Times New Roman" w:eastAsia="仿宋_GB2312" w:cs="Times New Roman"/>
          <w:color w:val="000000"/>
          <w:kern w:val="0"/>
          <w:sz w:val="32"/>
          <w:szCs w:val="32"/>
          <w:lang w:bidi="ar"/>
        </w:rPr>
        <w:t>已获得专精特新企业贷款贴息的企业。</w:t>
      </w:r>
    </w:p>
    <w:p w14:paraId="7E92FE2F">
      <w:pPr>
        <w:widowControl/>
        <w:spacing w:line="560" w:lineRule="exact"/>
        <w:ind w:firstLine="640" w:firstLineChars="20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二、扶持范围及额度</w:t>
      </w:r>
    </w:p>
    <w:p w14:paraId="2134D245">
      <w:pPr>
        <w:widowControl/>
        <w:spacing w:line="58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企</w:t>
      </w:r>
      <w:bookmarkStart w:id="0" w:name="_GoBack"/>
      <w:bookmarkEnd w:id="0"/>
      <w:r>
        <w:rPr>
          <w:rFonts w:ascii="Times New Roman" w:hAnsi="Times New Roman" w:eastAsia="仿宋_GB2312" w:cs="Times New Roman"/>
          <w:color w:val="000000"/>
          <w:kern w:val="0"/>
          <w:sz w:val="32"/>
          <w:szCs w:val="32"/>
          <w:lang w:bidi="ar"/>
        </w:rPr>
        <w:t>业获得商业银行人民币贷款并在202</w:t>
      </w:r>
      <w:r>
        <w:rPr>
          <w:rFonts w:hint="eastAsia" w:ascii="Times New Roman" w:hAnsi="Times New Roman" w:eastAsia="仿宋_GB2312" w:cs="Times New Roman"/>
          <w:color w:val="000000"/>
          <w:kern w:val="0"/>
          <w:sz w:val="32"/>
          <w:szCs w:val="32"/>
          <w:lang w:bidi="ar"/>
        </w:rPr>
        <w:t>4</w:t>
      </w:r>
      <w:r>
        <w:rPr>
          <w:rFonts w:ascii="Times New Roman" w:hAnsi="Times New Roman" w:eastAsia="仿宋_GB2312" w:cs="Times New Roman"/>
          <w:color w:val="000000"/>
          <w:kern w:val="0"/>
          <w:sz w:val="32"/>
          <w:szCs w:val="32"/>
          <w:lang w:bidi="ar"/>
        </w:rPr>
        <w:t>年5月1日至202</w:t>
      </w:r>
      <w:r>
        <w:rPr>
          <w:rFonts w:hint="eastAsia" w:ascii="Times New Roman" w:hAnsi="Times New Roman" w:eastAsia="仿宋_GB2312" w:cs="Times New Roman"/>
          <w:color w:val="000000"/>
          <w:kern w:val="0"/>
          <w:sz w:val="32"/>
          <w:szCs w:val="32"/>
          <w:lang w:bidi="ar"/>
        </w:rPr>
        <w:t>5</w:t>
      </w:r>
      <w:r>
        <w:rPr>
          <w:rFonts w:ascii="Times New Roman" w:hAnsi="Times New Roman" w:eastAsia="仿宋_GB2312" w:cs="Times New Roman"/>
          <w:color w:val="000000"/>
          <w:kern w:val="0"/>
          <w:sz w:val="32"/>
          <w:szCs w:val="32"/>
          <w:lang w:bidi="ar"/>
        </w:rPr>
        <w:t>年4月30日期间实际发生的利息总额达到30万元及以上的支出给予补助（时间、额度核定以利息单实际发生额为准），补助金额按照单个企业的补助比例最高不超过利息的50%，最高不超过100万元。</w:t>
      </w:r>
    </w:p>
    <w:p w14:paraId="469C8D36">
      <w:pPr>
        <w:widowControl/>
        <w:spacing w:line="560" w:lineRule="exact"/>
        <w:ind w:firstLine="640" w:firstLineChars="20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三、入库评审标准</w:t>
      </w:r>
    </w:p>
    <w:p w14:paraId="52ADD33F">
      <w:pPr>
        <w:widowControl/>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ascii="楷体_GB2312" w:hAnsi="楷体_GB2312" w:eastAsia="楷体_GB2312" w:cs="楷体_GB2312"/>
          <w:color w:val="000000"/>
          <w:kern w:val="0"/>
          <w:sz w:val="32"/>
          <w:szCs w:val="32"/>
          <w:lang w:bidi="ar"/>
        </w:rPr>
        <w:t>主导产品原则上属于以下重点领域</w:t>
      </w:r>
    </w:p>
    <w:p w14:paraId="750A0C4C">
      <w:pPr>
        <w:pStyle w:val="3"/>
        <w:spacing w:after="0" w:line="560" w:lineRule="exact"/>
        <w:ind w:firstLine="640" w:firstLineChars="200"/>
        <w:rPr>
          <w:rFonts w:ascii="Times New Roman" w:hAnsi="Times New Roman" w:eastAsia="仿宋_GB2312" w:cs="Times New Roman"/>
          <w:bCs/>
          <w:color w:val="FF0000"/>
          <w:sz w:val="32"/>
          <w:szCs w:val="32"/>
        </w:rPr>
      </w:pPr>
      <w:r>
        <w:rPr>
          <w:rFonts w:hint="eastAsia" w:ascii="Times New Roman" w:hAnsi="Times New Roman" w:eastAsia="仿宋_GB2312" w:cs="Times New Roman"/>
          <w:bCs/>
          <w:sz w:val="32"/>
          <w:szCs w:val="32"/>
        </w:rPr>
        <w:t>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14:paraId="186094D1">
      <w:pPr>
        <w:widowControl/>
        <w:spacing w:line="58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（二）专业化指标</w:t>
      </w:r>
    </w:p>
    <w:p w14:paraId="24A42BF5">
      <w:pPr>
        <w:widowControl/>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近2年主营业务收入平均增长率为正增长。</w:t>
      </w:r>
    </w:p>
    <w:p w14:paraId="1B1C1CEF">
      <w:pPr>
        <w:widowControl/>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bidi="ar"/>
        </w:rPr>
        <w:t>（三）创新能力指标</w:t>
      </w:r>
    </w:p>
    <w:p w14:paraId="18165281">
      <w:pPr>
        <w:widowControl/>
        <w:spacing w:line="58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上年度研发经费占营业收入比重4%以上。</w:t>
      </w:r>
    </w:p>
    <w:p w14:paraId="682C3AF9">
      <w:pPr>
        <w:widowControl/>
        <w:numPr>
          <w:ilvl w:val="0"/>
          <w:numId w:val="1"/>
        </w:numPr>
        <w:spacing w:line="58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其他</w:t>
      </w:r>
    </w:p>
    <w:p w14:paraId="5C0A70D4">
      <w:pPr>
        <w:pStyle w:val="3"/>
        <w:spacing w:after="0" w:line="560" w:lineRule="exact"/>
        <w:ind w:firstLine="640" w:firstLineChars="200"/>
      </w:pPr>
      <w:r>
        <w:rPr>
          <w:rFonts w:hint="eastAsia" w:ascii="Times New Roman" w:hAnsi="Times New Roman" w:eastAsia="仿宋_GB2312" w:cs="Times New Roman"/>
          <w:bCs/>
          <w:sz w:val="32"/>
          <w:szCs w:val="32"/>
        </w:rPr>
        <w:t>重点支持属于十大战略性支柱产业集群和十大战略性新兴产业集群的专精特新中小企业。同等条件下优先安排拥有国家级产业人才的企业、人工智能与机器人产业领域的企业入库。</w:t>
      </w:r>
    </w:p>
    <w:p w14:paraId="037B6653">
      <w:pPr>
        <w:widowControl/>
        <w:spacing w:line="560" w:lineRule="exact"/>
        <w:ind w:firstLine="640" w:firstLineChars="20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四、申报程序及佐证材料</w:t>
      </w:r>
    </w:p>
    <w:p w14:paraId="421C01BA">
      <w:pPr>
        <w:widowControl/>
        <w:spacing w:line="560" w:lineRule="exact"/>
        <w:ind w:firstLine="640" w:firstLineChars="200"/>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（一）线上申报</w:t>
      </w:r>
    </w:p>
    <w:p w14:paraId="4ABCBEDE">
      <w:pPr>
        <w:widowControl/>
        <w:spacing w:line="580" w:lineRule="exact"/>
        <w:ind w:firstLine="640" w:firstLineChars="200"/>
        <w:rPr>
          <w:rFonts w:ascii="Times New Roman" w:hAnsi="Times New Roman" w:eastAsia="仿宋_GB2312" w:cs="Times New Roman"/>
          <w:b/>
          <w:bCs/>
          <w:color w:val="000000"/>
          <w:kern w:val="0"/>
          <w:sz w:val="32"/>
          <w:szCs w:val="32"/>
          <w:lang w:bidi="ar"/>
        </w:rPr>
      </w:pPr>
      <w:r>
        <w:rPr>
          <w:rFonts w:ascii="Times New Roman" w:hAnsi="Times New Roman" w:eastAsia="仿宋_GB2312" w:cs="Times New Roman"/>
          <w:color w:val="000000"/>
          <w:kern w:val="0"/>
          <w:sz w:val="32"/>
          <w:szCs w:val="32"/>
          <w:lang w:bidi="ar"/>
        </w:rPr>
        <w:t>自本通知印发之日起，各拟申报单位可登录数字工信平台（网址：</w:t>
      </w:r>
      <w:r>
        <w:fldChar w:fldCharType="begin"/>
      </w:r>
      <w:r>
        <w:instrText xml:space="preserve"> HYPERLINK "https://gdii.gd.gov.cn/szgx/或http:/210.76.82.21/）按要求" </w:instrText>
      </w:r>
      <w:r>
        <w:fldChar w:fldCharType="separate"/>
      </w:r>
      <w:r>
        <w:rPr>
          <w:rStyle w:val="10"/>
          <w:rFonts w:ascii="Times New Roman" w:hAnsi="Times New Roman" w:eastAsia="仿宋_GB2312" w:cs="Times New Roman"/>
          <w:color w:val="auto"/>
          <w:kern w:val="0"/>
          <w:sz w:val="32"/>
          <w:szCs w:val="32"/>
          <w:u w:val="none"/>
          <w:lang w:bidi="ar"/>
        </w:rPr>
        <w:t>https://gdii.gd.gov.cn/szgx/）按</w:t>
      </w:r>
      <w:r>
        <w:rPr>
          <w:rStyle w:val="10"/>
          <w:rFonts w:hint="eastAsia" w:ascii="Times New Roman" w:hAnsi="Times New Roman" w:eastAsia="仿宋_GB2312" w:cs="Times New Roman"/>
          <w:color w:val="auto"/>
          <w:kern w:val="0"/>
          <w:sz w:val="32"/>
          <w:szCs w:val="32"/>
          <w:u w:val="none"/>
          <w:lang w:bidi="ar"/>
        </w:rPr>
        <w:t>申报指南（附件2）</w:t>
      </w:r>
      <w:r>
        <w:rPr>
          <w:rStyle w:val="10"/>
          <w:rFonts w:ascii="Times New Roman" w:hAnsi="Times New Roman" w:eastAsia="仿宋_GB2312" w:cs="Times New Roman"/>
          <w:color w:val="auto"/>
          <w:kern w:val="0"/>
          <w:sz w:val="32"/>
          <w:szCs w:val="32"/>
          <w:u w:val="none"/>
          <w:lang w:bidi="ar"/>
        </w:rPr>
        <w:t>要求</w:t>
      </w:r>
      <w:r>
        <w:rPr>
          <w:rStyle w:val="10"/>
          <w:rFonts w:ascii="Times New Roman" w:hAnsi="Times New Roman" w:eastAsia="仿宋_GB2312" w:cs="Times New Roman"/>
          <w:color w:val="auto"/>
          <w:kern w:val="0"/>
          <w:sz w:val="32"/>
          <w:szCs w:val="32"/>
          <w:u w:val="none"/>
          <w:lang w:bidi="ar"/>
        </w:rPr>
        <w:fldChar w:fldCharType="end"/>
      </w:r>
      <w:r>
        <w:rPr>
          <w:rFonts w:hint="eastAsia" w:ascii="Times New Roman" w:hAnsi="Times New Roman" w:eastAsia="仿宋_GB2312" w:cs="Times New Roman"/>
          <w:kern w:val="0"/>
          <w:sz w:val="32"/>
          <w:szCs w:val="32"/>
          <w:lang w:bidi="ar"/>
        </w:rPr>
        <w:t>填报及上传申报材料，平台</w:t>
      </w:r>
      <w:r>
        <w:rPr>
          <w:rFonts w:ascii="Times New Roman" w:hAnsi="Times New Roman" w:eastAsia="仿宋_GB2312" w:cs="Times New Roman"/>
          <w:color w:val="000000"/>
          <w:kern w:val="0"/>
          <w:sz w:val="32"/>
          <w:szCs w:val="32"/>
          <w:lang w:bidi="ar"/>
        </w:rPr>
        <w:t>线上申报截止日期为</w:t>
      </w:r>
      <w:r>
        <w:rPr>
          <w:rFonts w:ascii="Times New Roman" w:hAnsi="Times New Roman" w:eastAsia="仿宋_GB2312" w:cs="Times New Roman"/>
          <w:b/>
          <w:bCs/>
          <w:color w:val="000000"/>
          <w:kern w:val="0"/>
          <w:sz w:val="32"/>
          <w:szCs w:val="32"/>
          <w:lang w:bidi="ar"/>
        </w:rPr>
        <w:t>202</w:t>
      </w:r>
      <w:r>
        <w:rPr>
          <w:rFonts w:hint="eastAsia" w:ascii="Times New Roman" w:hAnsi="Times New Roman" w:eastAsia="仿宋_GB2312" w:cs="Times New Roman"/>
          <w:b/>
          <w:bCs/>
          <w:color w:val="000000"/>
          <w:kern w:val="0"/>
          <w:sz w:val="32"/>
          <w:szCs w:val="32"/>
          <w:lang w:bidi="ar"/>
        </w:rPr>
        <w:t>5</w:t>
      </w:r>
      <w:r>
        <w:rPr>
          <w:rFonts w:ascii="Times New Roman" w:hAnsi="Times New Roman" w:eastAsia="仿宋_GB2312" w:cs="Times New Roman"/>
          <w:b/>
          <w:bCs/>
          <w:color w:val="000000"/>
          <w:kern w:val="0"/>
          <w:sz w:val="32"/>
          <w:szCs w:val="32"/>
          <w:lang w:bidi="ar"/>
        </w:rPr>
        <w:t>年</w:t>
      </w:r>
      <w:r>
        <w:rPr>
          <w:rFonts w:hint="eastAsia" w:ascii="Times New Roman" w:hAnsi="Times New Roman" w:eastAsia="仿宋_GB2312" w:cs="Times New Roman"/>
          <w:b/>
          <w:bCs/>
          <w:color w:val="000000"/>
          <w:kern w:val="0"/>
          <w:sz w:val="32"/>
          <w:szCs w:val="32"/>
          <w:lang w:bidi="ar"/>
        </w:rPr>
        <w:t>8</w:t>
      </w:r>
      <w:r>
        <w:rPr>
          <w:rFonts w:ascii="Times New Roman" w:hAnsi="Times New Roman" w:eastAsia="仿宋_GB2312" w:cs="Times New Roman"/>
          <w:b/>
          <w:bCs/>
          <w:color w:val="000000"/>
          <w:kern w:val="0"/>
          <w:sz w:val="32"/>
          <w:szCs w:val="32"/>
          <w:lang w:bidi="ar"/>
        </w:rPr>
        <w:t>月</w:t>
      </w:r>
      <w:r>
        <w:rPr>
          <w:rFonts w:hint="eastAsia" w:ascii="Times New Roman" w:hAnsi="Times New Roman" w:eastAsia="仿宋_GB2312" w:cs="Times New Roman"/>
          <w:b/>
          <w:bCs/>
          <w:color w:val="000000"/>
          <w:kern w:val="0"/>
          <w:sz w:val="32"/>
          <w:szCs w:val="32"/>
          <w:lang w:bidi="ar"/>
        </w:rPr>
        <w:t>11</w:t>
      </w:r>
      <w:r>
        <w:rPr>
          <w:rFonts w:ascii="Times New Roman" w:hAnsi="Times New Roman" w:eastAsia="仿宋_GB2312" w:cs="Times New Roman"/>
          <w:b/>
          <w:bCs/>
          <w:color w:val="000000"/>
          <w:kern w:val="0"/>
          <w:sz w:val="32"/>
          <w:szCs w:val="32"/>
          <w:lang w:bidi="ar"/>
        </w:rPr>
        <w:t>日（星期</w:t>
      </w:r>
      <w:r>
        <w:rPr>
          <w:rFonts w:hint="eastAsia" w:ascii="Times New Roman" w:hAnsi="Times New Roman" w:eastAsia="仿宋_GB2312" w:cs="Times New Roman"/>
          <w:b/>
          <w:bCs/>
          <w:color w:val="000000"/>
          <w:kern w:val="0"/>
          <w:sz w:val="32"/>
          <w:szCs w:val="32"/>
          <w:lang w:bidi="ar"/>
        </w:rPr>
        <w:t>一</w:t>
      </w:r>
      <w:r>
        <w:rPr>
          <w:rFonts w:ascii="Times New Roman" w:hAnsi="Times New Roman" w:eastAsia="仿宋_GB2312" w:cs="Times New Roman"/>
          <w:b/>
          <w:bCs/>
          <w:color w:val="000000"/>
          <w:kern w:val="0"/>
          <w:sz w:val="32"/>
          <w:szCs w:val="32"/>
          <w:lang w:bidi="ar"/>
        </w:rPr>
        <w:t>）</w:t>
      </w:r>
      <w:r>
        <w:rPr>
          <w:rFonts w:hint="eastAsia" w:ascii="Times New Roman" w:hAnsi="Times New Roman" w:eastAsia="仿宋_GB2312" w:cs="Times New Roman"/>
          <w:b/>
          <w:bCs/>
          <w:color w:val="000000"/>
          <w:kern w:val="0"/>
          <w:sz w:val="32"/>
          <w:szCs w:val="32"/>
          <w:lang w:bidi="ar"/>
        </w:rPr>
        <w:t>。</w:t>
      </w:r>
    </w:p>
    <w:p w14:paraId="560FD949">
      <w:pPr>
        <w:widowControl/>
        <w:spacing w:line="560" w:lineRule="exact"/>
        <w:ind w:firstLine="643" w:firstLineChars="200"/>
        <w:rPr>
          <w:rFonts w:ascii="Times New Roman" w:hAnsi="Times New Roman" w:eastAsia="仿宋_GB2312" w:cs="Times New Roman"/>
          <w:b/>
          <w:bCs/>
          <w:color w:val="000000"/>
          <w:kern w:val="0"/>
          <w:sz w:val="32"/>
          <w:szCs w:val="32"/>
          <w:lang w:bidi="ar"/>
        </w:rPr>
      </w:pPr>
      <w:r>
        <w:rPr>
          <w:rFonts w:ascii="Times New Roman" w:hAnsi="Times New Roman" w:eastAsia="仿宋_GB2312" w:cs="Times New Roman"/>
          <w:b/>
          <w:bCs/>
          <w:color w:val="000000"/>
          <w:kern w:val="0"/>
          <w:sz w:val="32"/>
          <w:szCs w:val="32"/>
          <w:lang w:bidi="ar"/>
        </w:rPr>
        <w:t>需上传的材料包括：</w:t>
      </w:r>
    </w:p>
    <w:p w14:paraId="4E50F206">
      <w:pPr>
        <w:widowControl/>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bidi="ar"/>
        </w:rPr>
        <w:t>1</w:t>
      </w:r>
      <w:r>
        <w:rPr>
          <w:rFonts w:ascii="Times New Roman" w:hAnsi="Times New Roman" w:eastAsia="仿宋_GB2312" w:cs="Times New Roman"/>
          <w:color w:val="000000"/>
          <w:kern w:val="0"/>
          <w:sz w:val="32"/>
          <w:szCs w:val="32"/>
          <w:lang w:bidi="ar"/>
        </w:rPr>
        <w:t>）企业营业执照（复印件，加盖公章）；</w:t>
      </w:r>
    </w:p>
    <w:p w14:paraId="15A10F91">
      <w:pPr>
        <w:widowControl/>
        <w:spacing w:line="560" w:lineRule="exact"/>
        <w:ind w:firstLine="640" w:firstLineChars="200"/>
        <w:rPr>
          <w:rFonts w:ascii="Times New Roman" w:hAnsi="Times New Roman" w:eastAsia="仿宋_GB2312" w:cs="Times New Roman"/>
          <w:b w:val="0"/>
          <w:bCs w:val="0"/>
          <w:color w:val="auto"/>
          <w:kern w:val="0"/>
          <w:sz w:val="32"/>
          <w:szCs w:val="32"/>
          <w:highlight w:val="none"/>
          <w:u w:val="none"/>
          <w:lang w:bidi="ar"/>
        </w:rPr>
      </w:pPr>
      <w:r>
        <w:rPr>
          <w:rFonts w:ascii="Times New Roman" w:hAnsi="Times New Roman" w:eastAsia="仿宋_GB2312" w:cs="Times New Roman"/>
          <w:b w:val="0"/>
          <w:bCs w:val="0"/>
          <w:color w:val="000000" w:themeColor="text1"/>
          <w:kern w:val="0"/>
          <w:sz w:val="32"/>
          <w:szCs w:val="32"/>
          <w:highlight w:val="none"/>
          <w:u w:val="none"/>
          <w:lang w:bidi="ar"/>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u w:val="none"/>
          <w:lang w:bidi="ar"/>
          <w14:textFill>
            <w14:solidFill>
              <w14:schemeClr w14:val="tx1"/>
            </w14:solidFill>
          </w14:textFill>
        </w:rPr>
        <w:t>2</w:t>
      </w:r>
      <w:r>
        <w:rPr>
          <w:rFonts w:ascii="Times New Roman" w:hAnsi="Times New Roman" w:eastAsia="仿宋_GB2312" w:cs="Times New Roman"/>
          <w:b w:val="0"/>
          <w:bCs w:val="0"/>
          <w:color w:val="000000" w:themeColor="text1"/>
          <w:kern w:val="0"/>
          <w:sz w:val="32"/>
          <w:szCs w:val="32"/>
          <w:highlight w:val="none"/>
          <w:u w:val="none"/>
          <w:lang w:bidi="ar"/>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u w:val="none"/>
          <w:lang w:bidi="ar"/>
          <w14:textFill>
            <w14:solidFill>
              <w14:schemeClr w14:val="tx1"/>
            </w14:solidFill>
          </w14:textFill>
        </w:rPr>
        <w:t>税务申报表，包括2023年和2024年企业所得税年度纳税申报表； 2023年12月、2024年12月增值税申报表（复印件，加盖公章）</w:t>
      </w:r>
      <w:r>
        <w:rPr>
          <w:rFonts w:ascii="Times New Roman" w:hAnsi="Times New Roman" w:eastAsia="仿宋_GB2312" w:cs="Times New Roman"/>
          <w:b w:val="0"/>
          <w:bCs w:val="0"/>
          <w:color w:val="000000" w:themeColor="text1"/>
          <w:kern w:val="0"/>
          <w:sz w:val="32"/>
          <w:szCs w:val="32"/>
          <w:highlight w:val="none"/>
          <w:u w:val="none"/>
          <w:lang w:bidi="ar"/>
          <w14:textFill>
            <w14:solidFill>
              <w14:schemeClr w14:val="tx1"/>
            </w14:solidFill>
          </w14:textFill>
        </w:rPr>
        <w:t>；</w:t>
      </w:r>
    </w:p>
    <w:p w14:paraId="36CB0395">
      <w:pPr>
        <w:widowControl/>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b w:val="0"/>
          <w:bCs w:val="0"/>
          <w:color w:val="auto"/>
          <w:kern w:val="0"/>
          <w:sz w:val="32"/>
          <w:szCs w:val="32"/>
          <w:highlight w:val="none"/>
          <w:u w:val="none"/>
          <w:lang w:bidi="ar"/>
        </w:rPr>
        <w:t>（</w:t>
      </w:r>
      <w:r>
        <w:rPr>
          <w:rFonts w:hint="eastAsia" w:ascii="Times New Roman" w:hAnsi="Times New Roman" w:eastAsia="仿宋_GB2312" w:cs="Times New Roman"/>
          <w:b w:val="0"/>
          <w:bCs w:val="0"/>
          <w:color w:val="auto"/>
          <w:kern w:val="0"/>
          <w:sz w:val="32"/>
          <w:szCs w:val="32"/>
          <w:highlight w:val="none"/>
          <w:u w:val="none"/>
          <w:lang w:bidi="ar"/>
        </w:rPr>
        <w:t>3</w:t>
      </w:r>
      <w:r>
        <w:rPr>
          <w:rFonts w:ascii="Times New Roman" w:hAnsi="Times New Roman" w:eastAsia="仿宋_GB2312" w:cs="Times New Roman"/>
          <w:b w:val="0"/>
          <w:bCs w:val="0"/>
          <w:color w:val="auto"/>
          <w:kern w:val="0"/>
          <w:sz w:val="32"/>
          <w:szCs w:val="32"/>
          <w:highlight w:val="none"/>
          <w:u w:val="none"/>
          <w:lang w:bidi="ar"/>
        </w:rPr>
        <w:t>）包括但不限于贷款合同、借款借据及贷款入账的银行回单、利息发票、利息支付单据（银行回单）、银行流水等能证明企业真实性及贷款（利息）真实性材料的复印件</w:t>
      </w:r>
      <w:r>
        <w:rPr>
          <w:rFonts w:hint="eastAsia" w:ascii="Times New Roman" w:hAnsi="Times New Roman" w:eastAsia="仿宋_GB2312" w:cs="Times New Roman"/>
          <w:b w:val="0"/>
          <w:bCs w:val="0"/>
          <w:color w:val="auto"/>
          <w:kern w:val="0"/>
          <w:sz w:val="32"/>
          <w:szCs w:val="32"/>
          <w:highlight w:val="none"/>
          <w:u w:val="none"/>
          <w:lang w:bidi="ar"/>
        </w:rPr>
        <w:t>，同一张利息支付单据包含非补助期间内利息和补助期间内利息的（例如2024.5.21支付的2024.4.21-2024.5.20的利息），只填报补助期间内的利息并提供明细计算过程材料；</w:t>
      </w:r>
      <w:r>
        <w:rPr>
          <w:rFonts w:ascii="Times New Roman" w:hAnsi="Times New Roman" w:eastAsia="仿宋_GB2312" w:cs="Times New Roman"/>
          <w:b w:val="0"/>
          <w:bCs w:val="0"/>
          <w:color w:val="auto"/>
          <w:kern w:val="0"/>
          <w:sz w:val="32"/>
          <w:szCs w:val="32"/>
          <w:highlight w:val="none"/>
          <w:u w:val="none"/>
          <w:lang w:bidi="ar"/>
        </w:rPr>
        <w:t>并加盖公章（每个贷款合同及产生的相关利</w:t>
      </w:r>
      <w:r>
        <w:rPr>
          <w:rFonts w:ascii="Times New Roman" w:hAnsi="Times New Roman" w:eastAsia="仿宋_GB2312" w:cs="Times New Roman"/>
          <w:color w:val="000000"/>
          <w:kern w:val="0"/>
          <w:sz w:val="32"/>
          <w:szCs w:val="32"/>
          <w:lang w:bidi="ar"/>
        </w:rPr>
        <w:t>息单据等合并为一个PDF上传，即有几份贷款合同就上传几份PDF）；</w:t>
      </w:r>
    </w:p>
    <w:p w14:paraId="2B5C06C0">
      <w:pPr>
        <w:widowControl/>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bidi="ar"/>
        </w:rPr>
        <w:t>4</w:t>
      </w:r>
      <w:r>
        <w:rPr>
          <w:rFonts w:ascii="Times New Roman" w:hAnsi="Times New Roman" w:eastAsia="仿宋_GB2312" w:cs="Times New Roman"/>
          <w:color w:val="000000"/>
          <w:kern w:val="0"/>
          <w:sz w:val="32"/>
          <w:szCs w:val="32"/>
          <w:lang w:bidi="ar"/>
        </w:rPr>
        <w:t>）202</w:t>
      </w:r>
      <w:r>
        <w:rPr>
          <w:rFonts w:hint="eastAsia" w:ascii="Times New Roman" w:hAnsi="Times New Roman" w:eastAsia="仿宋_GB2312" w:cs="Times New Roman"/>
          <w:color w:val="000000"/>
          <w:kern w:val="0"/>
          <w:sz w:val="32"/>
          <w:szCs w:val="32"/>
          <w:lang w:bidi="ar"/>
        </w:rPr>
        <w:t>2</w:t>
      </w:r>
      <w:r>
        <w:rPr>
          <w:rFonts w:ascii="Times New Roman" w:hAnsi="Times New Roman" w:eastAsia="仿宋_GB2312" w:cs="Times New Roman"/>
          <w:color w:val="000000"/>
          <w:kern w:val="0"/>
          <w:sz w:val="32"/>
          <w:szCs w:val="32"/>
          <w:lang w:bidi="ar"/>
        </w:rPr>
        <w:t>年、202</w:t>
      </w:r>
      <w:r>
        <w:rPr>
          <w:rFonts w:hint="eastAsia" w:ascii="Times New Roman" w:hAnsi="Times New Roman" w:eastAsia="仿宋_GB2312" w:cs="Times New Roman"/>
          <w:color w:val="000000"/>
          <w:kern w:val="0"/>
          <w:sz w:val="32"/>
          <w:szCs w:val="32"/>
          <w:lang w:bidi="ar"/>
        </w:rPr>
        <w:t>3</w:t>
      </w:r>
      <w:r>
        <w:rPr>
          <w:rFonts w:ascii="Times New Roman" w:hAnsi="Times New Roman" w:eastAsia="仿宋_GB2312" w:cs="Times New Roman"/>
          <w:color w:val="000000"/>
          <w:kern w:val="0"/>
          <w:sz w:val="32"/>
          <w:szCs w:val="32"/>
          <w:lang w:bidi="ar"/>
        </w:rPr>
        <w:t>年、202</w:t>
      </w:r>
      <w:r>
        <w:rPr>
          <w:rFonts w:hint="eastAsia" w:ascii="Times New Roman" w:hAnsi="Times New Roman" w:eastAsia="仿宋_GB2312" w:cs="Times New Roman"/>
          <w:color w:val="000000"/>
          <w:kern w:val="0"/>
          <w:sz w:val="32"/>
          <w:szCs w:val="32"/>
          <w:lang w:bidi="ar"/>
        </w:rPr>
        <w:t>4</w:t>
      </w:r>
      <w:r>
        <w:rPr>
          <w:rFonts w:ascii="Times New Roman" w:hAnsi="Times New Roman" w:eastAsia="仿宋_GB2312" w:cs="Times New Roman"/>
          <w:color w:val="000000"/>
          <w:kern w:val="0"/>
          <w:sz w:val="32"/>
          <w:szCs w:val="32"/>
          <w:lang w:bidi="ar"/>
        </w:rPr>
        <w:t>年度审计报告（需体现营业收入、主营业务收入、研发费用、资产负债等数据，若年度审计报告未体现研发费用数据可提供研发专项审计报告。202</w:t>
      </w:r>
      <w:r>
        <w:rPr>
          <w:rFonts w:hint="eastAsia" w:ascii="Times New Roman" w:hAnsi="Times New Roman" w:eastAsia="仿宋_GB2312" w:cs="Times New Roman"/>
          <w:color w:val="000000"/>
          <w:kern w:val="0"/>
          <w:sz w:val="32"/>
          <w:szCs w:val="32"/>
          <w:lang w:bidi="ar"/>
        </w:rPr>
        <w:t>3</w:t>
      </w:r>
      <w:r>
        <w:rPr>
          <w:rFonts w:ascii="Times New Roman" w:hAnsi="Times New Roman" w:eastAsia="仿宋_GB2312" w:cs="Times New Roman"/>
          <w:color w:val="000000"/>
          <w:kern w:val="0"/>
          <w:sz w:val="32"/>
          <w:szCs w:val="32"/>
          <w:lang w:bidi="ar"/>
        </w:rPr>
        <w:t>年审计报告包含202</w:t>
      </w:r>
      <w:r>
        <w:rPr>
          <w:rFonts w:hint="eastAsia" w:ascii="Times New Roman" w:hAnsi="Times New Roman" w:eastAsia="仿宋_GB2312" w:cs="Times New Roman"/>
          <w:color w:val="000000"/>
          <w:kern w:val="0"/>
          <w:sz w:val="32"/>
          <w:szCs w:val="32"/>
          <w:lang w:bidi="ar"/>
        </w:rPr>
        <w:t>2</w:t>
      </w:r>
      <w:r>
        <w:rPr>
          <w:rFonts w:ascii="Times New Roman" w:hAnsi="Times New Roman" w:eastAsia="仿宋_GB2312" w:cs="Times New Roman"/>
          <w:color w:val="000000"/>
          <w:kern w:val="0"/>
          <w:sz w:val="32"/>
          <w:szCs w:val="32"/>
          <w:lang w:bidi="ar"/>
        </w:rPr>
        <w:t>年数据的，则无需提供202</w:t>
      </w:r>
      <w:r>
        <w:rPr>
          <w:rFonts w:hint="eastAsia" w:ascii="Times New Roman" w:hAnsi="Times New Roman" w:eastAsia="仿宋_GB2312" w:cs="Times New Roman"/>
          <w:color w:val="000000"/>
          <w:kern w:val="0"/>
          <w:sz w:val="32"/>
          <w:szCs w:val="32"/>
          <w:lang w:bidi="ar"/>
        </w:rPr>
        <w:t>2</w:t>
      </w:r>
      <w:r>
        <w:rPr>
          <w:rFonts w:ascii="Times New Roman" w:hAnsi="Times New Roman" w:eastAsia="仿宋_GB2312" w:cs="Times New Roman"/>
          <w:color w:val="000000"/>
          <w:kern w:val="0"/>
          <w:sz w:val="32"/>
          <w:szCs w:val="32"/>
          <w:lang w:bidi="ar"/>
        </w:rPr>
        <w:t>年审计报告）；</w:t>
      </w:r>
    </w:p>
    <w:p w14:paraId="690F28B4">
      <w:pPr>
        <w:widowControl/>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（6）</w:t>
      </w:r>
      <w:r>
        <w:rPr>
          <w:rFonts w:hint="eastAsia" w:ascii="Times New Roman" w:hAnsi="Times New Roman" w:eastAsia="仿宋_GB2312" w:cs="Times New Roman"/>
          <w:sz w:val="32"/>
          <w:szCs w:val="32"/>
        </w:rPr>
        <w:t>2026年专精特新中小企业贷款贴息项目入库审核明细表</w:t>
      </w:r>
      <w:r>
        <w:rPr>
          <w:rFonts w:ascii="Times New Roman" w:hAnsi="Times New Roman" w:eastAsia="仿宋_GB2312" w:cs="Times New Roman"/>
          <w:color w:val="000000"/>
          <w:kern w:val="0"/>
          <w:sz w:val="32"/>
          <w:szCs w:val="32"/>
          <w:lang w:bidi="ar"/>
        </w:rPr>
        <w:t>（附件3，可编辑电子版）；</w:t>
      </w:r>
    </w:p>
    <w:p w14:paraId="7930460B">
      <w:pPr>
        <w:widowControl/>
        <w:spacing w:line="560" w:lineRule="exact"/>
        <w:ind w:firstLine="640" w:firstLineChars="200"/>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7</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其他材料（按审核要求补充）。</w:t>
      </w:r>
    </w:p>
    <w:p w14:paraId="454BAB2B">
      <w:pPr>
        <w:widowControl/>
        <w:spacing w:line="560" w:lineRule="exact"/>
        <w:ind w:firstLine="640" w:firstLineChars="200"/>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（二）形式审查</w:t>
      </w:r>
    </w:p>
    <w:p w14:paraId="2513983E">
      <w:pPr>
        <w:widowControl/>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线上申报结束后，由市工信局组织开展形式审查，对申报单位申报资格进行初步审核。</w:t>
      </w:r>
    </w:p>
    <w:p w14:paraId="4461DAE3">
      <w:pPr>
        <w:widowControl/>
        <w:spacing w:line="560" w:lineRule="exact"/>
        <w:ind w:firstLine="640" w:firstLineChars="200"/>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（三）现场审核</w:t>
      </w:r>
    </w:p>
    <w:p w14:paraId="56997B75">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市工信局组织开展，具体时间地点另行通知，</w:t>
      </w:r>
      <w:r>
        <w:rPr>
          <w:rFonts w:ascii="Times New Roman" w:hAnsi="Times New Roman" w:eastAsia="仿宋_GB2312" w:cs="Times New Roman"/>
          <w:sz w:val="32"/>
          <w:szCs w:val="32"/>
        </w:rPr>
        <w:t>现场审核需提交的材料如下：</w:t>
      </w:r>
    </w:p>
    <w:p w14:paraId="684B56F8">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（1）线上导出的申报书，一式两份，加盖公章，</w:t>
      </w:r>
      <w:r>
        <w:rPr>
          <w:rFonts w:ascii="Times New Roman" w:hAnsi="Times New Roman" w:eastAsia="仿宋_GB2312" w:cs="Times New Roman"/>
          <w:color w:val="000000"/>
          <w:kern w:val="0"/>
          <w:sz w:val="32"/>
          <w:szCs w:val="32"/>
          <w:lang w:bidi="ar"/>
        </w:rPr>
        <w:t>A4纸双面打印，并胶装成册，</w:t>
      </w:r>
      <w:r>
        <w:rPr>
          <w:rFonts w:ascii="Times New Roman" w:hAnsi="Times New Roman" w:eastAsia="仿宋_GB2312" w:cs="Times New Roman"/>
          <w:b/>
          <w:bCs/>
          <w:color w:val="000000"/>
          <w:kern w:val="0"/>
          <w:sz w:val="32"/>
          <w:szCs w:val="32"/>
          <w:lang w:bidi="ar"/>
        </w:rPr>
        <w:t>现场提交不退回</w:t>
      </w:r>
      <w:r>
        <w:rPr>
          <w:rFonts w:ascii="Times New Roman" w:hAnsi="Times New Roman" w:eastAsia="仿宋_GB2312" w:cs="Times New Roman"/>
          <w:sz w:val="32"/>
          <w:szCs w:val="32"/>
        </w:rPr>
        <w:t>；</w:t>
      </w:r>
    </w:p>
    <w:p w14:paraId="4A1FF141">
      <w:pPr>
        <w:widowControl/>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2026年专精特新中小企业贷款贴息项目入库审核明细表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附件3</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color w:val="000000"/>
          <w:kern w:val="0"/>
          <w:sz w:val="32"/>
          <w:szCs w:val="32"/>
          <w:lang w:bidi="ar"/>
        </w:rPr>
        <w:t>，装订成册，一式两份，加盖公章，</w:t>
      </w:r>
      <w:r>
        <w:rPr>
          <w:rFonts w:hint="eastAsia" w:ascii="仿宋_GB2312" w:hAnsi="仿宋_GB2312" w:eastAsia="仿宋_GB2312" w:cs="仿宋_GB2312"/>
          <w:b/>
          <w:bCs/>
          <w:color w:val="000000"/>
          <w:kern w:val="0"/>
          <w:sz w:val="32"/>
          <w:szCs w:val="32"/>
          <w:lang w:bidi="ar"/>
        </w:rPr>
        <w:t>现场提交不退回</w:t>
      </w:r>
      <w:r>
        <w:rPr>
          <w:rFonts w:hint="eastAsia" w:ascii="仿宋_GB2312" w:hAnsi="仿宋_GB2312" w:eastAsia="仿宋_GB2312" w:cs="仿宋_GB2312"/>
          <w:color w:val="000000"/>
          <w:kern w:val="0"/>
          <w:sz w:val="32"/>
          <w:szCs w:val="32"/>
          <w:lang w:bidi="ar"/>
        </w:rPr>
        <w:t>；</w:t>
      </w:r>
    </w:p>
    <w:p w14:paraId="731A9EE4">
      <w:pPr>
        <w:widowControl/>
        <w:spacing w:line="560" w:lineRule="exact"/>
        <w:ind w:firstLine="640" w:firstLineChars="200"/>
        <w:rPr>
          <w:rFonts w:ascii="Times New Roman" w:hAnsi="Times New Roman" w:eastAsia="仿宋_GB2312" w:cs="Times New Roman"/>
          <w:color w:val="000000"/>
          <w:kern w:val="0"/>
          <w:sz w:val="32"/>
          <w:szCs w:val="32"/>
          <w:highlight w:val="none"/>
          <w:lang w:bidi="ar"/>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税务申报表原件，包括2023年和2024年企业所得税年度纳税申报表； 2023年12月、2024年12月增值税申报表，核验后退回</w:t>
      </w:r>
      <w:r>
        <w:rPr>
          <w:rFonts w:ascii="Times New Roman" w:hAnsi="Times New Roman" w:eastAsia="仿宋_GB2312" w:cs="Times New Roman"/>
          <w:color w:val="000000"/>
          <w:kern w:val="0"/>
          <w:sz w:val="32"/>
          <w:szCs w:val="32"/>
          <w:highlight w:val="none"/>
          <w:lang w:bidi="ar"/>
        </w:rPr>
        <w:t>；</w:t>
      </w:r>
    </w:p>
    <w:p w14:paraId="3D9729E2">
      <w:pPr>
        <w:widowControl/>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bidi="ar"/>
        </w:rPr>
        <w:t>4</w:t>
      </w:r>
      <w:r>
        <w:rPr>
          <w:rFonts w:ascii="Times New Roman" w:hAnsi="Times New Roman" w:eastAsia="仿宋_GB2312" w:cs="Times New Roman"/>
          <w:color w:val="000000"/>
          <w:kern w:val="0"/>
          <w:sz w:val="32"/>
          <w:szCs w:val="32"/>
          <w:lang w:bidi="ar"/>
        </w:rPr>
        <w:t>）包括但不限于贷款合同、借款借据及贷款入账的银行回单、利息发票、利息支付单据（银行回单）、银行流水等能证明企业真实性及贷款（利息）真实性材料原件，原件应与线上上传材料保持一致，核验后退回；</w:t>
      </w:r>
    </w:p>
    <w:p w14:paraId="23533965">
      <w:pPr>
        <w:widowControl/>
        <w:spacing w:line="560" w:lineRule="exact"/>
        <w:ind w:firstLine="640" w:firstLineChars="200"/>
        <w:rPr>
          <w:rFonts w:hint="eastAsia" w:ascii="Times New Roman" w:hAnsi="Times New Roman" w:eastAsia="仿宋_GB2312" w:cs="Times New Roman"/>
          <w:color w:val="000000"/>
          <w:kern w:val="0"/>
          <w:sz w:val="32"/>
          <w:szCs w:val="32"/>
          <w:lang w:eastAsia="zh-CN" w:bidi="ar"/>
        </w:rPr>
      </w:pPr>
      <w:r>
        <w:rPr>
          <w:rFonts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bidi="ar"/>
        </w:rPr>
        <w:t>5</w:t>
      </w:r>
      <w:r>
        <w:rPr>
          <w:rFonts w:ascii="Times New Roman" w:hAnsi="Times New Roman" w:eastAsia="仿宋_GB2312" w:cs="Times New Roman"/>
          <w:color w:val="000000"/>
          <w:kern w:val="0"/>
          <w:sz w:val="32"/>
          <w:szCs w:val="32"/>
          <w:lang w:bidi="ar"/>
        </w:rPr>
        <w:t>）202</w:t>
      </w:r>
      <w:r>
        <w:rPr>
          <w:rFonts w:hint="eastAsia" w:ascii="Times New Roman" w:hAnsi="Times New Roman" w:eastAsia="仿宋_GB2312" w:cs="Times New Roman"/>
          <w:color w:val="000000"/>
          <w:kern w:val="0"/>
          <w:sz w:val="32"/>
          <w:szCs w:val="32"/>
          <w:lang w:bidi="ar"/>
        </w:rPr>
        <w:t>2</w:t>
      </w:r>
      <w:r>
        <w:rPr>
          <w:rFonts w:ascii="Times New Roman" w:hAnsi="Times New Roman" w:eastAsia="仿宋_GB2312" w:cs="Times New Roman"/>
          <w:color w:val="000000"/>
          <w:kern w:val="0"/>
          <w:sz w:val="32"/>
          <w:szCs w:val="32"/>
          <w:lang w:bidi="ar"/>
        </w:rPr>
        <w:t>年、202</w:t>
      </w:r>
      <w:r>
        <w:rPr>
          <w:rFonts w:hint="eastAsia" w:ascii="Times New Roman" w:hAnsi="Times New Roman" w:eastAsia="仿宋_GB2312" w:cs="Times New Roman"/>
          <w:color w:val="000000"/>
          <w:kern w:val="0"/>
          <w:sz w:val="32"/>
          <w:szCs w:val="32"/>
          <w:lang w:bidi="ar"/>
        </w:rPr>
        <w:t>3</w:t>
      </w:r>
      <w:r>
        <w:rPr>
          <w:rFonts w:ascii="Times New Roman" w:hAnsi="Times New Roman" w:eastAsia="仿宋_GB2312" w:cs="Times New Roman"/>
          <w:color w:val="000000"/>
          <w:kern w:val="0"/>
          <w:sz w:val="32"/>
          <w:szCs w:val="32"/>
          <w:lang w:bidi="ar"/>
        </w:rPr>
        <w:t>年、202</w:t>
      </w:r>
      <w:r>
        <w:rPr>
          <w:rFonts w:hint="eastAsia" w:ascii="Times New Roman" w:hAnsi="Times New Roman" w:eastAsia="仿宋_GB2312" w:cs="Times New Roman"/>
          <w:color w:val="000000"/>
          <w:kern w:val="0"/>
          <w:sz w:val="32"/>
          <w:szCs w:val="32"/>
          <w:lang w:bidi="ar"/>
        </w:rPr>
        <w:t>4</w:t>
      </w:r>
      <w:r>
        <w:rPr>
          <w:rFonts w:ascii="Times New Roman" w:hAnsi="Times New Roman" w:eastAsia="仿宋_GB2312" w:cs="Times New Roman"/>
          <w:color w:val="000000"/>
          <w:kern w:val="0"/>
          <w:sz w:val="32"/>
          <w:szCs w:val="32"/>
          <w:lang w:bidi="ar"/>
        </w:rPr>
        <w:t>年度审计报告原件，核验后退回</w:t>
      </w:r>
      <w:r>
        <w:rPr>
          <w:rFonts w:hint="eastAsia" w:ascii="Times New Roman" w:hAnsi="Times New Roman" w:eastAsia="仿宋_GB2312" w:cs="Times New Roman"/>
          <w:color w:val="000000"/>
          <w:kern w:val="0"/>
          <w:sz w:val="32"/>
          <w:szCs w:val="32"/>
          <w:lang w:eastAsia="zh-CN" w:bidi="ar"/>
        </w:rPr>
        <w:t>；</w:t>
      </w:r>
    </w:p>
    <w:p w14:paraId="52C36E47">
      <w:pPr>
        <w:widowControl/>
        <w:spacing w:line="560" w:lineRule="exact"/>
        <w:ind w:firstLine="640" w:firstLineChars="200"/>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6</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其他材料（按审核要求补充）。</w:t>
      </w:r>
    </w:p>
    <w:p w14:paraId="1E063991">
      <w:pPr>
        <w:widowControl/>
        <w:spacing w:line="560" w:lineRule="exact"/>
        <w:ind w:firstLine="640" w:firstLineChars="200"/>
        <w:rPr>
          <w:rFonts w:ascii="Times New Roman" w:hAnsi="Times New Roman" w:eastAsia="仿宋_GB2312" w:cs="Times New Roman"/>
          <w:color w:val="000000"/>
          <w:kern w:val="0"/>
          <w:sz w:val="32"/>
          <w:szCs w:val="32"/>
          <w:lang w:bidi="ar"/>
        </w:rPr>
      </w:pPr>
    </w:p>
    <w:p w14:paraId="1A2FC4E7">
      <w:pPr>
        <w:tabs>
          <w:tab w:val="left" w:pos="2062"/>
        </w:tabs>
        <w:jc w:val="center"/>
        <w:rPr>
          <w:rFonts w:ascii="Times New Roman" w:hAnsi="Times New Roman" w:eastAsia="方正小标宋简体" w:cs="Times New Roman"/>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8ADBC"/>
    <w:multiLevelType w:val="singleLevel"/>
    <w:tmpl w:val="1608ADB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YmY5NWVmNDk1M2RhOGYwOTNiN2Y2NGQ5NmFiYmUifQ=="/>
  </w:docVars>
  <w:rsids>
    <w:rsidRoot w:val="3A053842"/>
    <w:rsid w:val="001D567D"/>
    <w:rsid w:val="00250095"/>
    <w:rsid w:val="00492434"/>
    <w:rsid w:val="0051010E"/>
    <w:rsid w:val="005746AB"/>
    <w:rsid w:val="007A249C"/>
    <w:rsid w:val="00A644F4"/>
    <w:rsid w:val="00D9722C"/>
    <w:rsid w:val="3A053842"/>
    <w:rsid w:val="42A141CF"/>
    <w:rsid w:val="614F16D8"/>
    <w:rsid w:val="75B53010"/>
    <w:rsid w:val="7653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ody Text"/>
    <w:basedOn w:val="1"/>
    <w:qFormat/>
    <w:uiPriority w:val="0"/>
    <w:pPr>
      <w:spacing w:after="120"/>
    </w:pPr>
  </w:style>
  <w:style w:type="paragraph" w:styleId="4">
    <w:name w:val="Balloon Text"/>
    <w:basedOn w:val="1"/>
    <w:link w:val="16"/>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uiPriority w:val="0"/>
    <w:rPr>
      <w:b/>
      <w:bCs/>
    </w:rPr>
  </w:style>
  <w:style w:type="character" w:styleId="10">
    <w:name w:val="Hyperlink"/>
    <w:basedOn w:val="9"/>
    <w:qFormat/>
    <w:uiPriority w:val="0"/>
    <w:rPr>
      <w:color w:val="0000FF"/>
      <w:u w:val="single"/>
    </w:rPr>
  </w:style>
  <w:style w:type="character" w:styleId="11">
    <w:name w:val="annotation reference"/>
    <w:basedOn w:val="9"/>
    <w:uiPriority w:val="0"/>
    <w:rPr>
      <w:sz w:val="21"/>
      <w:szCs w:val="21"/>
    </w:rPr>
  </w:style>
  <w:style w:type="character" w:customStyle="1" w:styleId="12">
    <w:name w:val="页眉 Char"/>
    <w:basedOn w:val="9"/>
    <w:link w:val="6"/>
    <w:uiPriority w:val="0"/>
    <w:rPr>
      <w:kern w:val="2"/>
      <w:sz w:val="18"/>
      <w:szCs w:val="18"/>
    </w:rPr>
  </w:style>
  <w:style w:type="character" w:customStyle="1" w:styleId="13">
    <w:name w:val="页脚 Char"/>
    <w:basedOn w:val="9"/>
    <w:link w:val="5"/>
    <w:uiPriority w:val="0"/>
    <w:rPr>
      <w:kern w:val="2"/>
      <w:sz w:val="18"/>
      <w:szCs w:val="18"/>
    </w:rPr>
  </w:style>
  <w:style w:type="character" w:customStyle="1" w:styleId="14">
    <w:name w:val="批注文字 Char"/>
    <w:basedOn w:val="9"/>
    <w:link w:val="2"/>
    <w:uiPriority w:val="0"/>
    <w:rPr>
      <w:kern w:val="2"/>
      <w:sz w:val="21"/>
      <w:szCs w:val="24"/>
    </w:rPr>
  </w:style>
  <w:style w:type="character" w:customStyle="1" w:styleId="15">
    <w:name w:val="批注主题 Char"/>
    <w:basedOn w:val="14"/>
    <w:link w:val="7"/>
    <w:uiPriority w:val="0"/>
    <w:rPr>
      <w:b/>
      <w:bCs/>
      <w:kern w:val="2"/>
      <w:sz w:val="21"/>
      <w:szCs w:val="24"/>
    </w:rPr>
  </w:style>
  <w:style w:type="character" w:customStyle="1" w:styleId="16">
    <w:name w:val="批注框文本 Char"/>
    <w:basedOn w:val="9"/>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1302</Words>
  <Characters>1430</Characters>
  <Lines>10</Lines>
  <Paragraphs>3</Paragraphs>
  <TotalTime>19</TotalTime>
  <ScaleCrop>false</ScaleCrop>
  <LinksUpToDate>false</LinksUpToDate>
  <CharactersWithSpaces>1430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2025-07-24T09:19:00Z</dcterms:created>
  <dc:creator>黎LLll</dc:creator>
  <cp:lastModifiedBy>黎LLll</cp:lastModifiedBy>
  <dcterms:modified xsi:type="dcterms:W3CDTF">2025-07-29T00:26:07Z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F5105E4BC0024D5481E03E73C524677A_13</vt:lpwstr>
  </property>
  <property fmtid="{D5CDD505-2E9C-101B-9397-08002B2CF9AE}" pid="4" name="KSOTemplateDocerSaveRecord">
    <vt:lpwstr>eyJoZGlkIjoiYTZhYzgwNWZiM2RiOWY0YTQ1OGFkOTZlYmI1MTA5NDEiLCJ1c2VySWQiOiIxOTc0MjAxMTgifQ==</vt:lpwstr>
  </property>
</Properties>
</file>