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年东莞市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倍增企业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申报指南</w:t>
      </w: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申报对象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在我市注册、纳税并具有独立法人资格的规模以上企业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对于未上规和未入统的企业，不予纳入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“倍增企业”。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</w:rPr>
        <w:t>申报条件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（一）“</w:t>
      </w:r>
      <w:r>
        <w:rPr>
          <w:rFonts w:hint="eastAsia" w:ascii="Times New Roman" w:hAnsi="Times New Roman" w:eastAsia="仿宋_GB2312"/>
          <w:sz w:val="32"/>
          <w:szCs w:val="32"/>
        </w:rPr>
        <w:t>免申”入库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/>
          <w:sz w:val="32"/>
          <w:szCs w:val="32"/>
        </w:rPr>
        <w:t>企业主要为有效期内</w:t>
      </w:r>
      <w:r>
        <w:rPr>
          <w:rFonts w:ascii="Times New Roman" w:hAnsi="Times New Roman" w:eastAsia="仿宋_GB2312"/>
          <w:sz w:val="32"/>
          <w:szCs w:val="32"/>
        </w:rPr>
        <w:t>省级、市级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链主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企业，国家级、省级制造业单项冠军企业，国家级专精特新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小巨人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sz w:val="32"/>
          <w:szCs w:val="32"/>
        </w:rPr>
        <w:t>，上年度营业收入达到</w:t>
      </w:r>
      <w:r>
        <w:rPr>
          <w:rFonts w:ascii="Times New Roman" w:hAnsi="Times New Roman" w:eastAsia="仿宋_GB2312"/>
          <w:sz w:val="32"/>
          <w:szCs w:val="32"/>
        </w:rPr>
        <w:t>50</w:t>
      </w:r>
      <w:r>
        <w:rPr>
          <w:rFonts w:hint="eastAsia" w:ascii="Times New Roman" w:hAnsi="Times New Roman" w:eastAsia="仿宋_GB2312"/>
          <w:sz w:val="32"/>
          <w:szCs w:val="32"/>
        </w:rPr>
        <w:t>亿元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的战略性产业龙头</w:t>
      </w:r>
      <w:r>
        <w:rPr>
          <w:rFonts w:hint="eastAsia" w:ascii="Times New Roman" w:hAnsi="Times New Roman" w:eastAsia="仿宋_GB2312"/>
          <w:sz w:val="32"/>
          <w:szCs w:val="32"/>
        </w:rPr>
        <w:t>企业，以及</w:t>
      </w:r>
      <w:r>
        <w:rPr>
          <w:rFonts w:ascii="Times New Roman" w:hAnsi="Times New Roman" w:eastAsia="仿宋_GB2312"/>
          <w:sz w:val="32"/>
          <w:szCs w:val="32"/>
        </w:rPr>
        <w:t>近三年境内上市的制造业及软件信息服务业企业</w:t>
      </w:r>
      <w:r>
        <w:rPr>
          <w:rFonts w:hint="eastAsia" w:ascii="Times New Roman" w:hAnsi="Times New Roman" w:eastAsia="仿宋_GB2312"/>
          <w:sz w:val="32"/>
          <w:szCs w:val="32"/>
        </w:rPr>
        <w:t>等优质企业，且上年度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2024年度）</w:t>
      </w:r>
      <w:r>
        <w:rPr>
          <w:rFonts w:hint="eastAsia" w:ascii="Times New Roman" w:hAnsi="Times New Roman" w:eastAsia="仿宋_GB2312"/>
          <w:sz w:val="32"/>
          <w:szCs w:val="32"/>
        </w:rPr>
        <w:t>营业收入正增长；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）制造业和生产性服务业企业上年度营业收入应不低于1亿元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，其中</w:t>
      </w:r>
      <w:r>
        <w:rPr>
          <w:rFonts w:hint="eastAsia" w:ascii="Times New Roman" w:hAnsi="Times New Roman" w:eastAsia="仿宋_GB2312"/>
          <w:sz w:val="32"/>
          <w:szCs w:val="32"/>
        </w:rPr>
        <w:t>营业收入连续两年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同比</w:t>
      </w:r>
      <w:r>
        <w:rPr>
          <w:rFonts w:hint="eastAsia" w:ascii="Times New Roman" w:hAnsi="Times New Roman" w:eastAsia="仿宋_GB2312"/>
          <w:sz w:val="32"/>
          <w:szCs w:val="32"/>
        </w:rPr>
        <w:t>增长25%以上的制造业和生产性服务业可放宽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/>
          <w:sz w:val="32"/>
          <w:szCs w:val="32"/>
        </w:rPr>
        <w:t>上年度营业收入不低于5000万元，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且</w:t>
      </w:r>
      <w:r>
        <w:rPr>
          <w:rFonts w:hint="eastAsia" w:ascii="Times New Roman" w:hAnsi="Times New Roman" w:eastAsia="仿宋_GB2312"/>
          <w:sz w:val="32"/>
          <w:szCs w:val="32"/>
        </w:rPr>
        <w:t>上年度营业收入5000万元-1亿元的企业新增数量不超过当年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新增</w:t>
      </w:r>
      <w:r>
        <w:rPr>
          <w:rFonts w:hint="eastAsia" w:ascii="Times New Roman" w:hAnsi="Times New Roman" w:eastAsia="仿宋_GB2312"/>
          <w:sz w:val="32"/>
          <w:szCs w:val="32"/>
        </w:rPr>
        <w:t>倍增企业总数的10%；属于</w:t>
      </w:r>
      <w:r>
        <w:rPr>
          <w:rFonts w:ascii="Times New Roman" w:hAnsi="Times New Roman" w:eastAsia="仿宋_GB2312" w:cs="仿宋_GB2312"/>
          <w:color w:val="000000"/>
          <w:kern w:val="0"/>
          <w:sz w:val="31"/>
          <w:szCs w:val="31"/>
          <w:lang w:bidi="ar"/>
        </w:rPr>
        <w:t>下一代移动通信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bidi="ar"/>
        </w:rPr>
        <w:t>（</w:t>
      </w:r>
      <w:r>
        <w:rPr>
          <w:rFonts w:ascii="Times New Roman" w:hAnsi="Times New Roman" w:cs="Times New Roman"/>
          <w:color w:val="000000"/>
          <w:kern w:val="0"/>
          <w:sz w:val="31"/>
          <w:szCs w:val="31"/>
          <w:lang w:bidi="ar"/>
        </w:rPr>
        <w:t>6G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bidi="ar"/>
        </w:rPr>
        <w:t>）、前沿新材料、具身智能、未来生命健康等未来产业的“未来之星”企业</w:t>
      </w:r>
      <w:r>
        <w:rPr>
          <w:rFonts w:hint="eastAsia" w:ascii="Times New Roman" w:hAnsi="Times New Roman" w:eastAsia="仿宋_GB2312"/>
          <w:sz w:val="32"/>
          <w:szCs w:val="32"/>
        </w:rPr>
        <w:t>可放宽上年度营业收入不低于5000万元；软件与信息技术服务业试点企业上年度营业收入应不低于</w:t>
      </w:r>
      <w:r>
        <w:rPr>
          <w:rFonts w:ascii="Times New Roman" w:hAnsi="Times New Roman" w:eastAsia="仿宋_GB2312"/>
          <w:sz w:val="32"/>
          <w:szCs w:val="32"/>
        </w:rPr>
        <w:t>3000</w:t>
      </w:r>
      <w:r>
        <w:rPr>
          <w:rFonts w:hint="eastAsia" w:ascii="Times New Roman" w:hAnsi="Times New Roman" w:eastAsia="仿宋_GB2312"/>
          <w:sz w:val="32"/>
          <w:szCs w:val="32"/>
        </w:rPr>
        <w:t>万元；</w:t>
      </w:r>
    </w:p>
    <w:p>
      <w:pPr>
        <w:spacing w:line="560" w:lineRule="exact"/>
        <w:ind w:left="319" w:leftChars="152" w:firstLine="320" w:firstLineChars="1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）企业未被列入失信名单、未发生重大安全生产事故。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、申报方式及时间</w:t>
      </w:r>
    </w:p>
    <w:p>
      <w:pPr>
        <w:keepNext w:val="0"/>
        <w:keepLines w:val="0"/>
        <w:widowControl/>
        <w:suppressLineNumbers w:val="0"/>
        <w:spacing w:line="600" w:lineRule="exact"/>
        <w:ind w:firstLine="62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</w:pP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（一）网上申报的截止时间：2025年</w:t>
      </w:r>
      <w:r>
        <w:rPr>
          <w:rFonts w:hint="eastAsia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13</w:t>
      </w: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日（星期</w:t>
      </w:r>
      <w:r>
        <w:rPr>
          <w:rFonts w:hint="eastAsia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" w:bidi="ar-SA"/>
        </w:rPr>
        <w:t>:</w:t>
      </w:r>
      <w:r>
        <w:rPr>
          <w:rFonts w:hint="eastAsia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逾期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提交，视同放弃申报。申报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登录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企莞家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企业综合服务平台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进行申报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。进入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企莞家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平台的方式：在浏览器输入网址https://zwfw.dg.gov.cn/dgecsp进入平台；或者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上“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广东政务服务网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选择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东莞市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，在首页点击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企莞家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平台入口进入平台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39"/>
        <w:spacing w:line="600" w:lineRule="exact"/>
        <w:ind w:firstLine="6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网上形式审核通过后，</w:t>
      </w: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提交纸质材料的截止时间：2025年</w:t>
      </w:r>
      <w:r>
        <w:rPr>
          <w:rFonts w:hint="eastAsia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27</w:t>
      </w: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日（星期</w:t>
      </w:r>
      <w:r>
        <w:rPr>
          <w:rFonts w:hint="eastAsia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kern w:val="2"/>
          <w:sz w:val="31"/>
          <w:szCs w:val="31"/>
          <w:lang w:val="en-US" w:eastAsia="zh-CN" w:bidi="ar-SA"/>
        </w:rPr>
        <w:t>）17:00，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逾期未提交，视同放弃申报。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、申报材料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清单</w:t>
      </w:r>
    </w:p>
    <w:p>
      <w:pPr>
        <w:spacing w:line="60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东莞市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申请表</w:t>
      </w:r>
      <w:r>
        <w:rPr>
          <w:rFonts w:hint="eastAsia" w:ascii="Times New Roman" w:hAnsi="Times New Roman" w:eastAsia="仿宋_GB2312"/>
          <w:sz w:val="32"/>
          <w:szCs w:val="32"/>
        </w:rPr>
        <w:t>（附件1-1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）（原件，线上填报，</w:t>
      </w:r>
      <w:r>
        <w:rPr>
          <w:rFonts w:hint="eastAsia" w:ascii="Times New Roman" w:hAnsi="Times New Roman" w:eastAsia="仿宋_GB2312"/>
          <w:sz w:val="32"/>
          <w:szCs w:val="32"/>
        </w:rPr>
        <w:t>系统生成带水印材料打印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，加盖企业公章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（二）202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</w:rPr>
        <w:t>东莞市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倍增企业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申报承诺书（附件1-2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）（原件，法人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签字，加盖</w:t>
      </w:r>
      <w:r>
        <w:rPr>
          <w:rFonts w:hint="eastAsia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公章</w:t>
      </w:r>
      <w:r>
        <w:rPr>
          <w:rFonts w:hint="eastAsia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扫描上传PDF格式文档）；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（三）企业简介（参考附件1-4）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（原件，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WORD格式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（四）企业倍增发展方案（方案提纲可参考附件1-5）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（复印件，加盖企业公章；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“免申”入库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无需提交）；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（五）相关统计报表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附件1-7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电子版，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EXCEL格式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，文件夹打包成一个压缩包；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“免申”入库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无需提交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（六）202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年和202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个年度的审计报告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（复印件，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“免申”入库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只需提供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2024年审计报告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（七）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年、202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年和202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年三个年度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增值税和企业所得税完税证明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复印件，纸质申报材料的有关要求请参考附件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1-3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PDF格式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“免申”入库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无需提交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before="0" w:after="0" w:line="60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特别说明：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/>
        <w:spacing w:before="0" w:after="0" w:line="60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1.网上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形式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通过后，申报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1-3.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纸质资料提交要求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顺序编排打印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、胶装成册。</w:t>
      </w:r>
    </w:p>
    <w:p>
      <w:pPr>
        <w:spacing w:line="600" w:lineRule="exact"/>
        <w:ind w:firstLine="640" w:firstLineChars="200"/>
        <w:rPr>
          <w:rFonts w:hint="default" w:ascii="Times New Roman" w:hAnsi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2.网上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形式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通过后，申报系统将在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个工作日内对申请材料加盖电子水印。</w:t>
      </w:r>
    </w:p>
    <w:p>
      <w:pPr>
        <w:pStyle w:val="39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流程</w:t>
      </w:r>
    </w:p>
    <w:p>
      <w:pPr>
        <w:keepNext w:val="0"/>
        <w:keepLines w:val="0"/>
        <w:widowControl/>
        <w:suppressLineNumbers w:val="0"/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（一）网上申报。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登录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企莞家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企业综合服务平台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进行申报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9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形式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审核。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市工业和信息化局对申报材料进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行形式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并作出审核通过或不通过的决定。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）征求意见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市工业和信息化局对申报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征求有关部门意见，核查申报企业是否存在不予资助的情形。</w:t>
      </w:r>
    </w:p>
    <w:p>
      <w:pPr>
        <w:pStyle w:val="39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）提交纸质材料。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网上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形式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通过后，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把带电子水印的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申报材料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，按本通知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1-3.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纸质资料提交要求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顺序编排打印，做好封面和目录（目录列明所提交的各份材料名称及页码），A4纸双面打印，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胶装成册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一式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，封面、骑缝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请于2025年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）17时前提交纸质材料，逾期未提交，视同放弃申报。提交方式有两种:</w:t>
      </w:r>
    </w:p>
    <w:p>
      <w:pPr>
        <w:pStyle w:val="39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1.申报企业持纸质申报材料和网上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形式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预审通过短信，提交材料至东莞市政务服务中心二楼综合服务三区，可提前通过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i莞家”微信公众号/支付宝小程序预约“市政务服务中心一综合服务三区-惠企服务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政策兑现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;</w:t>
      </w:r>
    </w:p>
    <w:p>
      <w:pPr>
        <w:pStyle w:val="39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2.申报企业邮寄材料至东莞市政务服务中心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邮寄地址信息:东莞市南城街道鸿福路199号东莞市政务服务中心综合三区，电话0769-22835627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，随件附纸注明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形式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通过流水号，相关邮寄用由申报企业自理。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1919F3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开展评分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市工业和信息化局对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申报企业进行</w:t>
      </w:r>
      <w:r>
        <w:rPr>
          <w:rFonts w:hint="eastAsia" w:ascii="Times New Roman" w:hAnsi="Times New Roman" w:eastAsia="仿宋_GB2312"/>
          <w:sz w:val="32"/>
          <w:szCs w:val="32"/>
        </w:rPr>
        <w:t>高质量评价指标评分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社会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公示。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市工业和信息化局对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拟入选名单进行社会公示。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1919F3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市政府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审议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市工业和信息化局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拟年度“倍增名单”报市政府审议。</w:t>
      </w:r>
    </w:p>
    <w:p>
      <w:pPr>
        <w:spacing w:line="600" w:lineRule="exact"/>
        <w:ind w:firstLine="643" w:firstLineChars="200"/>
        <w:rPr>
          <w:rFonts w:hint="default" w:ascii="Times New Roman" w:hAnsi="Times New Roman"/>
          <w:color w:val="1919F3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公布年度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倍增企业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名单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市工业和信息化局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公布年度“倍增企业”名单。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黑体" w:cs="黑体"/>
          <w:sz w:val="32"/>
          <w:szCs w:val="32"/>
        </w:rPr>
        <w:t>、遴选原则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建立“免申”与“遴选”相结合的“倍增企业”入库机制。“免申”入库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是指</w:t>
      </w:r>
      <w:r>
        <w:rPr>
          <w:rFonts w:hint="eastAsia" w:ascii="Times New Roman" w:hAnsi="Times New Roman" w:eastAsia="仿宋_GB2312"/>
          <w:sz w:val="32"/>
          <w:szCs w:val="32"/>
        </w:rPr>
        <w:t>有效期内</w:t>
      </w:r>
      <w:r>
        <w:rPr>
          <w:rFonts w:ascii="Times New Roman" w:hAnsi="Times New Roman" w:eastAsia="仿宋_GB2312"/>
          <w:sz w:val="32"/>
          <w:szCs w:val="32"/>
        </w:rPr>
        <w:t>省级、市级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链主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企业，国家级、省级制造业单项冠军企业，国家级专精特新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小巨人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sz w:val="32"/>
          <w:szCs w:val="32"/>
        </w:rPr>
        <w:t>，上年度营业收入达到</w:t>
      </w:r>
      <w:r>
        <w:rPr>
          <w:rFonts w:ascii="Times New Roman" w:hAnsi="Times New Roman" w:eastAsia="仿宋_GB2312"/>
          <w:sz w:val="32"/>
          <w:szCs w:val="32"/>
        </w:rPr>
        <w:t>50</w:t>
      </w:r>
      <w:r>
        <w:rPr>
          <w:rFonts w:hint="eastAsia" w:ascii="Times New Roman" w:hAnsi="Times New Roman" w:eastAsia="仿宋_GB2312"/>
          <w:sz w:val="32"/>
          <w:szCs w:val="32"/>
        </w:rPr>
        <w:t>亿元的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"/>
        </w:rPr>
        <w:t>战略性产业龙头</w:t>
      </w:r>
      <w:r>
        <w:rPr>
          <w:rFonts w:hint="eastAsia" w:ascii="Times New Roman" w:hAnsi="Times New Roman" w:eastAsia="仿宋_GB2312"/>
          <w:sz w:val="32"/>
          <w:szCs w:val="32"/>
        </w:rPr>
        <w:t>企业，以及</w:t>
      </w:r>
      <w:r>
        <w:rPr>
          <w:rFonts w:ascii="Times New Roman" w:hAnsi="Times New Roman" w:eastAsia="仿宋_GB2312"/>
          <w:sz w:val="32"/>
          <w:szCs w:val="32"/>
        </w:rPr>
        <w:t>近三年境内上市的制造业及软件信息服务业企业</w:t>
      </w:r>
      <w:r>
        <w:rPr>
          <w:rFonts w:hint="eastAsia" w:ascii="Times New Roman" w:hAnsi="Times New Roman" w:eastAsia="仿宋_GB2312"/>
          <w:sz w:val="32"/>
          <w:szCs w:val="32"/>
        </w:rPr>
        <w:t>等优质企业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；“遴选”入库类企业是指</w:t>
      </w:r>
      <w:r>
        <w:rPr>
          <w:rFonts w:ascii="Times New Roman" w:hAnsi="Times New Roman" w:eastAsia="仿宋_GB2312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sz w:val="32"/>
          <w:szCs w:val="32"/>
        </w:rPr>
        <w:t>企业自主申报、高质量评价体系评分等遴选程序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入库的</w:t>
      </w:r>
      <w:r>
        <w:rPr>
          <w:rFonts w:ascii="Times New Roman" w:hAnsi="Times New Roman" w:eastAsia="仿宋_GB2312"/>
          <w:sz w:val="32"/>
          <w:szCs w:val="32"/>
        </w:rPr>
        <w:t>一批</w:t>
      </w:r>
      <w:r>
        <w:rPr>
          <w:rFonts w:hint="eastAsia" w:ascii="Times New Roman" w:hAnsi="Times New Roman" w:eastAsia="仿宋_GB2312"/>
          <w:sz w:val="32"/>
          <w:szCs w:val="32"/>
        </w:rPr>
        <w:t>优质</w:t>
      </w:r>
      <w:r>
        <w:rPr>
          <w:rFonts w:ascii="Times New Roman" w:hAnsi="Times New Roman" w:eastAsia="仿宋_GB2312"/>
          <w:sz w:val="32"/>
          <w:szCs w:val="32"/>
        </w:rPr>
        <w:t>企业。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宋体" w:cs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围绕</w:t>
      </w:r>
      <w:r>
        <w:rPr>
          <w:rFonts w:hint="eastAsia" w:ascii="Times New Roman" w:hAnsi="Times New Roman" w:eastAsia="仿宋_GB2312"/>
          <w:sz w:val="32"/>
          <w:szCs w:val="32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“8+8+4”重点工业产业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导向和发展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软件和信息技术服务业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需求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聚焦</w:t>
      </w:r>
      <w:r>
        <w:rPr>
          <w:rFonts w:hint="eastAsia" w:ascii="Times New Roman" w:hAnsi="Times New Roman" w:eastAsia="仿宋_GB2312"/>
          <w:sz w:val="32"/>
          <w:szCs w:val="32"/>
        </w:rPr>
        <w:t>传统产业转型升级和新质生产力培育发展两大主题主线</w:t>
      </w:r>
      <w:r>
        <w:rPr>
          <w:rFonts w:ascii="Times New Roman" w:hAnsi="Times New Roman" w:eastAsia="仿宋_GB2312"/>
          <w:sz w:val="32"/>
          <w:szCs w:val="32"/>
        </w:rPr>
        <w:t>，形成以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传统特色产业、</w:t>
      </w:r>
      <w:r>
        <w:rPr>
          <w:rFonts w:ascii="Times New Roman" w:hAnsi="Times New Roman" w:eastAsia="仿宋_GB2312"/>
          <w:sz w:val="32"/>
          <w:szCs w:val="32"/>
        </w:rPr>
        <w:t>战略性支柱产业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战略性新兴产业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和未来产业</w:t>
      </w:r>
      <w:r>
        <w:rPr>
          <w:rFonts w:ascii="Times New Roman" w:hAnsi="Times New Roman" w:eastAsia="仿宋_GB2312"/>
          <w:sz w:val="32"/>
          <w:szCs w:val="32"/>
        </w:rPr>
        <w:t>为主体的</w:t>
      </w:r>
      <w:r>
        <w:rPr>
          <w:rFonts w:hint="eastAsia" w:ascii="Times New Roman" w:hAnsi="Times New Roman" w:eastAsia="仿宋_GB2312"/>
          <w:sz w:val="32"/>
          <w:szCs w:val="32"/>
        </w:rPr>
        <w:t>倍增企业队伍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8个传统特色产业包括纺织服装鞋帽制造业、食品饮料加工制造业、造纸及纸制品业、玩具及文体用品制造业、家具制造业、化工制造业、包装印刷业、模具制造业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等产业；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战略性新兴产业包括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新一代电子信息、高端装备制造、半导体及集成电路、新材料、新能源、生物医药及高端医疗器械、人工智能、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低空经济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4个未来产业包括下一代移动通信（6G）、前沿新材料、具身智能、未来生命健康等未来产业。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黑体" w:cs="黑体"/>
          <w:sz w:val="32"/>
          <w:szCs w:val="32"/>
        </w:rPr>
        <w:t>、其他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（一）信息与软件服务业企业与制造业企业遴选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评分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标准存在差异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（详见附件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1-9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），请企业按照对应要求填写并提交申报材料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根据《东莞市“倍增企业”遴选考核办法》文件要求，“倍增企业”</w:t>
      </w:r>
      <w:r>
        <w:rPr>
          <w:rFonts w:ascii="Times New Roman" w:hAnsi="Times New Roman" w:eastAsia="仿宋_GB2312"/>
          <w:sz w:val="32"/>
          <w:szCs w:val="32"/>
        </w:rPr>
        <w:t>以</w:t>
      </w:r>
      <w:r>
        <w:rPr>
          <w:rFonts w:hint="eastAsia" w:ascii="Times New Roman" w:hAnsi="Times New Roman" w:eastAsia="仿宋_GB2312"/>
          <w:sz w:val="32"/>
          <w:szCs w:val="32"/>
        </w:rPr>
        <w:t>纳入前一年</w:t>
      </w:r>
      <w:r>
        <w:rPr>
          <w:rFonts w:ascii="Times New Roman" w:hAnsi="Times New Roman" w:eastAsia="仿宋_GB2312"/>
          <w:sz w:val="32"/>
          <w:szCs w:val="32"/>
        </w:rPr>
        <w:t>为基础年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，以基础年营业收入数据为依据，</w:t>
      </w:r>
      <w:r>
        <w:rPr>
          <w:rFonts w:hint="eastAsia" w:ascii="Times New Roman" w:hAnsi="Times New Roman" w:eastAsia="仿宋_GB2312"/>
          <w:sz w:val="32"/>
          <w:szCs w:val="32"/>
        </w:rPr>
        <w:t>每</w:t>
      </w:r>
      <w:r>
        <w:rPr>
          <w:rFonts w:ascii="Times New Roman" w:hAnsi="Times New Roman" w:eastAsia="仿宋_GB2312"/>
          <w:sz w:val="32"/>
          <w:szCs w:val="32"/>
        </w:rPr>
        <w:t>年复合增长率</w:t>
      </w:r>
      <w:r>
        <w:rPr>
          <w:rFonts w:hint="eastAsia" w:ascii="Times New Roman" w:hAnsi="Times New Roman" w:eastAsia="仿宋_GB2312"/>
          <w:sz w:val="32"/>
          <w:szCs w:val="32"/>
        </w:rPr>
        <w:t>目标为</w:t>
      </w:r>
      <w:r>
        <w:rPr>
          <w:rFonts w:ascii="Times New Roman" w:hAnsi="Times New Roman" w:eastAsia="仿宋_GB2312"/>
          <w:sz w:val="32"/>
          <w:szCs w:val="32"/>
        </w:rPr>
        <w:t>15%</w:t>
      </w:r>
      <w:r>
        <w:rPr>
          <w:rFonts w:hint="eastAsia" w:ascii="Times New Roman" w:hAnsi="Times New Roman" w:eastAsia="仿宋_GB2312"/>
          <w:sz w:val="32"/>
          <w:szCs w:val="32"/>
        </w:rPr>
        <w:t>，五年实现营业收入倍增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目标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-1.202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东莞市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报</w:t>
      </w:r>
      <w:r>
        <w:rPr>
          <w:rFonts w:ascii="Times New Roman" w:hAnsi="Times New Roman" w:eastAsia="仿宋_GB2312"/>
          <w:sz w:val="32"/>
          <w:szCs w:val="32"/>
        </w:rPr>
        <w:t>表</w:t>
      </w:r>
    </w:p>
    <w:p>
      <w:pPr>
        <w:spacing w:line="600" w:lineRule="exact"/>
        <w:ind w:left="2055" w:leftChars="750" w:hanging="480" w:hangingChars="15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1-2.202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年东莞市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倍增企业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申报承诺书</w:t>
      </w:r>
    </w:p>
    <w:p>
      <w:pPr>
        <w:spacing w:line="600" w:lineRule="exact"/>
        <w:ind w:left="2055" w:leftChars="750" w:hanging="480" w:hangingChars="15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1-3.纸质资料提交要求</w:t>
      </w:r>
    </w:p>
    <w:p>
      <w:pPr>
        <w:spacing w:line="600" w:lineRule="exact"/>
        <w:ind w:left="2055" w:leftChars="750" w:hanging="480" w:hangingChars="15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1-4.</w:t>
      </w:r>
      <w:r>
        <w:rPr>
          <w:rFonts w:hint="eastAsia" w:ascii="Times New Roman" w:hAnsi="Times New Roman" w:eastAsia="仿宋_GB2312"/>
          <w:sz w:val="32"/>
          <w:szCs w:val="32"/>
        </w:rPr>
        <w:t>企业倍增发展方案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模版）</w:t>
      </w:r>
    </w:p>
    <w:p>
      <w:pPr>
        <w:spacing w:line="600" w:lineRule="exact"/>
        <w:ind w:left="2055" w:leftChars="750" w:hanging="480" w:hangingChars="15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1-5.企业简介（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模版）</w:t>
      </w:r>
    </w:p>
    <w:p>
      <w:pPr>
        <w:spacing w:line="600" w:lineRule="exact"/>
        <w:ind w:left="2055" w:leftChars="750" w:hanging="480" w:hangingChars="15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1-6.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企莞家</w:t>
      </w:r>
      <w:r>
        <w:rPr>
          <w:rFonts w:hint="eastAsia" w:ascii="Times New Roman" w:hAnsi="Times New Roman" w:eastAsia="仿宋_GB2312"/>
          <w:sz w:val="32"/>
          <w:szCs w:val="32"/>
        </w:rPr>
        <w:t>平台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使用手册</w:t>
      </w:r>
    </w:p>
    <w:p>
      <w:pPr>
        <w:spacing w:line="600" w:lineRule="exact"/>
        <w:ind w:left="2055" w:leftChars="750" w:hanging="480" w:hangingChars="1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1-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.上传报表清单</w:t>
      </w:r>
    </w:p>
    <w:p>
      <w:pPr>
        <w:spacing w:line="600" w:lineRule="exact"/>
        <w:ind w:left="2055" w:leftChars="750" w:hanging="480" w:hangingChars="15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1-8.各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园区、镇（街）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企业遴选业务联系方式</w:t>
      </w:r>
    </w:p>
    <w:p>
      <w:pPr>
        <w:spacing w:line="600" w:lineRule="exact"/>
        <w:ind w:left="2055" w:leftChars="750" w:hanging="480" w:hangingChars="15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1-9.东莞市“倍增企业”高质量评价指标评分表</w:t>
      </w:r>
    </w:p>
    <w:p>
      <w:pPr>
        <w:spacing w:line="600" w:lineRule="exact"/>
        <w:ind w:left="2055" w:leftChars="750" w:hanging="480" w:hangingChars="150"/>
        <w:rPr>
          <w:rFonts w:hint="eastAsia" w:ascii="Times New Roman" w:hAnsi="Times New Roman" w:eastAsia="仿宋_GB2312" w:cs="仿宋_GB2312"/>
          <w:kern w:val="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1-1</w:t>
      </w:r>
      <w:r>
        <w:rPr>
          <w:rFonts w:ascii="Times New Roman" w:hAnsi="Times New Roman" w:eastAsia="黑体"/>
          <w:kern w:val="0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方正小标宋简体"/>
          <w:sz w:val="40"/>
          <w:szCs w:val="44"/>
        </w:rPr>
        <w:t>20</w:t>
      </w:r>
      <w:r>
        <w:rPr>
          <w:rFonts w:hint="eastAsia" w:ascii="Times New Roman" w:hAnsi="Times New Roman" w:eastAsia="方正小标宋简体"/>
          <w:sz w:val="40"/>
          <w:szCs w:val="44"/>
        </w:rPr>
        <w:t>2</w:t>
      </w:r>
      <w:r>
        <w:rPr>
          <w:rFonts w:hint="eastAsia" w:ascii="Times New Roman" w:hAnsi="Times New Roman" w:eastAsia="方正小标宋简体"/>
          <w:sz w:val="40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40"/>
          <w:szCs w:val="44"/>
        </w:rPr>
        <w:t>年东莞市</w:t>
      </w:r>
      <w:r>
        <w:rPr>
          <w:rFonts w:hint="eastAsia" w:ascii="Times New Roman" w:hAnsi="Times New Roman" w:eastAsia="方正小标宋简体"/>
          <w:sz w:val="40"/>
          <w:szCs w:val="44"/>
          <w:lang w:eastAsia="zh-CN"/>
        </w:rPr>
        <w:t>“</w:t>
      </w:r>
      <w:r>
        <w:rPr>
          <w:rFonts w:hint="eastAsia" w:ascii="Times New Roman" w:hAnsi="Times New Roman" w:eastAsia="方正小标宋简体"/>
          <w:sz w:val="40"/>
          <w:szCs w:val="44"/>
        </w:rPr>
        <w:t>倍增企业</w:t>
      </w:r>
      <w:r>
        <w:rPr>
          <w:rFonts w:hint="eastAsia" w:ascii="Times New Roman" w:hAnsi="Times New Roman" w:eastAsia="方正小标宋简体"/>
          <w:sz w:val="40"/>
          <w:szCs w:val="44"/>
          <w:lang w:eastAsia="zh-CN"/>
        </w:rPr>
        <w:t>”</w:t>
      </w:r>
      <w:r>
        <w:rPr>
          <w:rFonts w:hint="eastAsia" w:ascii="Times New Roman" w:hAnsi="Times New Roman" w:eastAsia="方正小标宋简体"/>
          <w:sz w:val="40"/>
          <w:szCs w:val="44"/>
        </w:rPr>
        <w:t>申</w:t>
      </w:r>
      <w:r>
        <w:rPr>
          <w:rFonts w:hint="eastAsia" w:ascii="Times New Roman" w:hAnsi="Times New Roman" w:eastAsia="方正小标宋简体"/>
          <w:sz w:val="40"/>
          <w:szCs w:val="44"/>
          <w:lang w:eastAsia="zh-CN"/>
        </w:rPr>
        <w:t>报</w:t>
      </w:r>
      <w:r>
        <w:rPr>
          <w:rFonts w:hint="eastAsia" w:ascii="Times New Roman" w:hAnsi="Times New Roman" w:eastAsia="方正小标宋简体"/>
          <w:sz w:val="40"/>
          <w:szCs w:val="44"/>
        </w:rPr>
        <w:t>表</w:t>
      </w:r>
    </w:p>
    <w:tbl>
      <w:tblPr>
        <w:tblStyle w:val="12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529"/>
        <w:gridCol w:w="1662"/>
        <w:gridCol w:w="1663"/>
        <w:gridCol w:w="820"/>
        <w:gridCol w:w="494"/>
        <w:gridCol w:w="1232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企业名称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874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统一社会信用代码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成立日期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38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所属镇街（园区）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营业执照地址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388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strike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性质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874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trike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内资企业□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外资企业□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国有企业（含国有控股）□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所属行业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31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行业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代码（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4位数字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306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法定代表人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手机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trike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企业联系邮箱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董事长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手机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83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trike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trike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总经理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手机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83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trike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trike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财务负责人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52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手机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trike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trike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申报联系人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手机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trike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trike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数据报送专员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手机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trike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trike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6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12"/>
              <w:tblW w:w="1061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86"/>
              <w:gridCol w:w="87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exact"/>
                <w:jc w:val="center"/>
              </w:trPr>
              <w:tc>
                <w:tcPr>
                  <w:tcW w:w="1886" w:type="dxa"/>
                  <w:noWrap w:val="0"/>
                  <w:vAlign w:val="center"/>
                </w:tcPr>
                <w:p>
                  <w:pPr>
                    <w:widowControl/>
                    <w:ind w:firstLine="200" w:firstLineChars="100"/>
                    <w:jc w:val="left"/>
                    <w:rPr>
                      <w:rFonts w:hint="eastAsia" w:ascii="Times New Roman" w:hAnsi="Times New Roman" w:eastAsia="宋体" w:cs="宋体"/>
                      <w:b/>
                      <w:color w:val="auto"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Times New Roman" w:hAnsi="Times New Roman" w:cs="宋体"/>
                      <w:color w:val="auto"/>
                      <w:kern w:val="0"/>
                      <w:sz w:val="20"/>
                      <w:szCs w:val="20"/>
                    </w:rPr>
                    <w:t>“免申”入库</w:t>
                  </w:r>
                  <w:r>
                    <w:rPr>
                      <w:rFonts w:hint="eastAsia" w:ascii="Times New Roman" w:hAnsi="Times New Roman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类</w:t>
                  </w:r>
                  <w:r>
                    <w:rPr>
                      <w:rFonts w:hint="eastAsia" w:ascii="Times New Roman" w:hAnsi="Times New Roman" w:cs="宋体"/>
                      <w:color w:val="auto"/>
                      <w:kern w:val="0"/>
                      <w:sz w:val="20"/>
                      <w:szCs w:val="20"/>
                      <w:lang w:val="en-US" w:eastAsia="zh-CN"/>
                    </w:rPr>
                    <w:t>*</w:t>
                  </w:r>
                </w:p>
              </w:tc>
              <w:tc>
                <w:tcPr>
                  <w:tcW w:w="8725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cs="宋体"/>
                      <w:color w:val="auto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是</w:t>
                  </w:r>
                  <w:r>
                    <w:rPr>
                      <w:rFonts w:hint="eastAsia" w:ascii="Times New Roman" w:hAnsi="Times New Roman" w:cs="宋体"/>
                      <w:color w:val="auto"/>
                      <w:kern w:val="0"/>
                      <w:sz w:val="20"/>
                      <w:szCs w:val="20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宋体"/>
                      <w:color w:val="auto"/>
                      <w:kern w:val="0"/>
                      <w:sz w:val="20"/>
                      <w:szCs w:val="20"/>
                      <w:lang w:eastAsia="zh-CN"/>
                    </w:rPr>
                    <w:t>否</w:t>
                  </w:r>
                  <w:r>
                    <w:rPr>
                      <w:rFonts w:hint="eastAsia" w:ascii="Times New Roman" w:hAnsi="Times New Roman" w:cs="宋体"/>
                      <w:color w:val="auto"/>
                      <w:kern w:val="0"/>
                      <w:sz w:val="20"/>
                      <w:szCs w:val="20"/>
                    </w:rPr>
                    <w:sym w:font="Wingdings 2" w:char="00A3"/>
                  </w:r>
                </w:p>
              </w:tc>
            </w:tr>
          </w:tbl>
          <w:p>
            <w:pPr>
              <w:widowControl/>
              <w:jc w:val="left"/>
              <w:rPr>
                <w:rFonts w:ascii="Times New Roman" w:hAnsi="Times New Roman" w:cs="宋体"/>
                <w:b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1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二、评分指标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1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前三年经营情况及本年度预测经营情况（万元，精确到小数点后</w:t>
            </w: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6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基准指标（100分）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计划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年度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计划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营业收入（万元）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营业收入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同比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增长率（%）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利润总额（万元）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资产总额（万元）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资产利润率（%）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税收贡献（万元）（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增值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税+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企业所得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税）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税收贡献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同比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增长率（%）（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增值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税+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企业所得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税）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</w:rPr>
              <w:t>研发费用（万元）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</w:rPr>
              <w:t>研发费用占营业收入比例（%）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2024年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专利情况</w:t>
            </w: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72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项PCT专利授权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项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2024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年PCT专利申报数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1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加分指标（最高20分）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相关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指标</w:t>
            </w:r>
          </w:p>
        </w:tc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计划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20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年度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计划</w:t>
            </w: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工业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投资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总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额（万元）</w:t>
            </w:r>
          </w:p>
        </w:tc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sz w:val="20"/>
                <w:szCs w:val="20"/>
              </w:rPr>
              <w:t>上年进出口额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sz w:val="20"/>
                <w:szCs w:val="20"/>
                <w:lang w:eastAsia="zh-CN"/>
              </w:rPr>
              <w:t>（万元）</w:t>
            </w:r>
          </w:p>
        </w:tc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2"/>
                <w:sz w:val="20"/>
                <w:szCs w:val="20"/>
              </w:rPr>
              <w:t>上年进出口增长率（%）</w:t>
            </w:r>
          </w:p>
        </w:tc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重大项目</w:t>
            </w: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7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  <w:lang w:eastAsia="zh-CN"/>
              </w:rPr>
              <w:t>省级、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市级重大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  <w:lang w:eastAsia="zh-CN"/>
              </w:rPr>
              <w:t>建设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项目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3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</w:rPr>
              <w:t>上市情况</w:t>
            </w:r>
          </w:p>
        </w:tc>
        <w:tc>
          <w:tcPr>
            <w:tcW w:w="7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上市企业（含境内外）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排队企业（中国证监会、上交所已受理）□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在广东证监局备案企业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t>上市后备企业和新三板挂牌企业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auto"/>
                <w:kern w:val="0"/>
                <w:sz w:val="20"/>
                <w:szCs w:val="20"/>
                <w:lang w:eastAsia="zh-CN"/>
              </w:rPr>
              <w:t>荣誉称号情况</w:t>
            </w:r>
          </w:p>
        </w:tc>
        <w:tc>
          <w:tcPr>
            <w:tcW w:w="7214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国家专精特新“小巨人”企业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国家级工业设计中心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</w:rPr>
              <w:t>国家级服务型制造示范企业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国家工程研究中心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国家企业技术中心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国家技术创新示范企业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国家制造业创新中心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省专精特新中小企业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省级工业设计中心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</w:rPr>
              <w:t>省级服务型制造示范企业、平台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t>省级工程技术研究中心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省级重点实验室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省级制造业创新中心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省级企业技术中心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中国驰名商标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省级工程研究中心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AEO高级认证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0"/>
                <w:szCs w:val="20"/>
              </w:rPr>
              <w:t>市加工贸易重点企业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高新技术企业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2"/>
                <w:sz w:val="20"/>
                <w:szCs w:val="20"/>
              </w:rPr>
              <w:t>人才计划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2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7214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Style w:val="30"/>
                <w:rFonts w:hint="default" w:ascii="Times New Roman" w:hAnsi="Times New Roman" w:eastAsia="宋体"/>
                <w:color w:val="auto"/>
                <w:sz w:val="20"/>
                <w:szCs w:val="20"/>
              </w:rPr>
              <w:t>拥有入选国家人才计划人员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Style w:val="32"/>
                <w:rFonts w:hint="default" w:ascii="Times New Roman" w:hAnsi="Times New Roman" w:eastAsia="宋体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拥有入选省级人才计划人员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向国家人才计划推荐有效申报人选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  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20"/>
                <w:szCs w:val="20"/>
                <w:u w:val="singl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exact"/>
          <w:jc w:val="center"/>
        </w:trPr>
        <w:tc>
          <w:tcPr>
            <w:tcW w:w="339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2"/>
                <w:sz w:val="20"/>
                <w:szCs w:val="20"/>
              </w:rPr>
              <w:t>行业导向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宋体"/>
                <w:b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21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Style w:val="30"/>
                <w:rFonts w:hint="default" w:ascii="Times New Roman" w:hAnsi="Times New Roman" w:eastAsia="宋体"/>
                <w:b/>
                <w:bCs/>
                <w:color w:val="auto"/>
                <w:sz w:val="20"/>
                <w:szCs w:val="20"/>
              </w:rPr>
              <w:t>未来产</w:t>
            </w:r>
            <w:r>
              <w:rPr>
                <w:rStyle w:val="30"/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eastAsia="zh-CN"/>
              </w:rPr>
              <w:t>业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widowControl/>
              <w:jc w:val="left"/>
              <w:rPr>
                <w:rStyle w:val="30"/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Style w:val="30"/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Style w:val="30"/>
                <w:rFonts w:hint="default" w:ascii="Times New Roman" w:hAnsi="Times New Roman" w:eastAsia="宋体"/>
                <w:color w:val="auto"/>
                <w:sz w:val="20"/>
                <w:szCs w:val="20"/>
              </w:rPr>
              <w:t>包括下一代移动通信（6G）、前沿新材料、具身智能、未来生命健康等未来产业</w:t>
            </w:r>
            <w:r>
              <w:rPr>
                <w:rStyle w:val="30"/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战略性新兴产业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  <w:lang w:eastAsia="zh-CN"/>
              </w:rPr>
              <w:t>，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包括新一代电子信息、高端装备制造、半导体及集成电路、新材料、新能源、生物医药及高端医疗器械、人工智能、低空经济等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传统特色产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业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，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包括纺织服装鞋帽制造业、食品饮料加工制造业、造纸及纸制品业、玩具及文体用品制造业、家具制造业、化工制造业、包装印刷业、模具制造业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软件和信息技术服务产业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061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Style w:val="33"/>
                <w:rFonts w:hint="default" w:ascii="Times New Roman" w:hAnsi="Times New Roman" w:eastAsia="宋体"/>
                <w:color w:val="auto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0"/>
                <w:szCs w:val="20"/>
              </w:rPr>
              <w:t>合计（最高120分）</w:t>
            </w:r>
          </w:p>
        </w:tc>
      </w:tr>
    </w:tbl>
    <w:p>
      <w:pPr>
        <w:spacing w:line="560" w:lineRule="exact"/>
        <w:ind w:right="640"/>
        <w:rPr>
          <w:rFonts w:ascii="Times New Roman" w:hAnsi="Times New Roman" w:cs="宋体"/>
          <w:b/>
          <w:bCs/>
          <w:kern w:val="0"/>
          <w:sz w:val="20"/>
          <w:szCs w:val="20"/>
          <w:highlight w:val="yellow"/>
        </w:rPr>
      </w:pPr>
      <w:r>
        <w:rPr>
          <w:rFonts w:hint="eastAsia" w:ascii="Times New Roman" w:hAnsi="Times New Roman" w:cs="宋体"/>
          <w:b/>
          <w:bCs/>
          <w:kern w:val="0"/>
          <w:sz w:val="20"/>
          <w:szCs w:val="20"/>
        </w:rPr>
        <w:t>备注：</w:t>
      </w:r>
      <w:r>
        <w:rPr>
          <w:rFonts w:hint="eastAsia" w:ascii="Times New Roman" w:hAnsi="Times New Roman" w:cs="宋体"/>
          <w:b/>
          <w:bCs/>
          <w:kern w:val="0"/>
          <w:sz w:val="20"/>
          <w:szCs w:val="20"/>
          <w:lang w:val="en-US" w:eastAsia="zh-CN"/>
        </w:rPr>
        <w:t>*</w:t>
      </w:r>
      <w:r>
        <w:rPr>
          <w:rFonts w:hint="eastAsia" w:ascii="Times New Roman" w:hAnsi="Times New Roman" w:cs="宋体"/>
          <w:b/>
          <w:bCs/>
          <w:kern w:val="0"/>
          <w:sz w:val="20"/>
          <w:szCs w:val="20"/>
        </w:rPr>
        <w:t>为申报时必填项。</w:t>
      </w:r>
    </w:p>
    <w:p>
      <w:pPr>
        <w:spacing w:line="560" w:lineRule="exact"/>
        <w:ind w:right="640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560" w:lineRule="exact"/>
        <w:ind w:right="640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560" w:lineRule="exact"/>
        <w:ind w:right="640"/>
        <w:rPr>
          <w:rFonts w:ascii="Times New Roman" w:hAnsi="Times New Roman" w:eastAsia="黑体" w:cs="黑体"/>
          <w:sz w:val="32"/>
          <w:szCs w:val="32"/>
        </w:rPr>
        <w:sectPr>
          <w:pgSz w:w="11906" w:h="16838"/>
          <w:pgMar w:top="1701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560" w:lineRule="exact"/>
        <w:ind w:righ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sz w:val="44"/>
          <w:szCs w:val="44"/>
        </w:rPr>
        <w:t>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年东莞市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倍增企业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申报承诺书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东莞市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工业和信息化局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公司声明：自愿加入东莞市重点企业规模与效益倍增计划，承诺全力争取成功实现倍增，并全面依法使用有关扶持政策，所提交的申报材料真实、合法，并同意授权相关单位将用水、用电、统计、税务、污染物排放等数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用于申报工作</w:t>
      </w:r>
      <w:r>
        <w:rPr>
          <w:rFonts w:hint="eastAsia" w:ascii="Times New Roman" w:hAnsi="Times New Roman" w:eastAsia="仿宋_GB2312"/>
          <w:sz w:val="32"/>
          <w:szCs w:val="32"/>
        </w:rPr>
        <w:t>。如有不实之处，愿负相应法律责任，并承担由此产生的一切后果。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特此声明！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单位法定代表人（签章）：        企业名称（盖章）： 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年    月    日</w:t>
      </w:r>
    </w:p>
    <w:p>
      <w:pPr>
        <w:spacing w:line="560" w:lineRule="exact"/>
        <w:ind w:right="640"/>
        <w:rPr>
          <w:rFonts w:ascii="Times New Roman" w:hAnsi="Times New Roman" w:eastAsia="黑体" w:cs="黑体"/>
          <w:sz w:val="32"/>
          <w:szCs w:val="32"/>
        </w:rPr>
        <w:sectPr>
          <w:pgSz w:w="11906" w:h="16838"/>
          <w:pgMar w:top="1701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560" w:lineRule="exact"/>
        <w:ind w:righ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</w:t>
      </w:r>
      <w:r>
        <w:rPr>
          <w:rFonts w:hint="eastAsia" w:ascii="Times New Roman" w:hAnsi="Times New Roman" w:eastAsia="黑体"/>
          <w:sz w:val="32"/>
          <w:szCs w:val="32"/>
        </w:rPr>
        <w:t>3</w:t>
      </w:r>
      <w:r>
        <w:rPr>
          <w:rFonts w:hint="eastAsia" w:ascii="Times New Roman" w:hAnsi="Times New Roman" w:eastAsia="黑体" w:cs="黑体"/>
          <w:sz w:val="32"/>
          <w:szCs w:val="32"/>
        </w:rPr>
        <w:t>：</w:t>
      </w:r>
    </w:p>
    <w:p>
      <w:pPr>
        <w:spacing w:line="480" w:lineRule="exact"/>
        <w:ind w:right="640" w:firstLine="880" w:firstLineChars="20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纸质资料提交要求</w:t>
      </w:r>
    </w:p>
    <w:p>
      <w:pPr>
        <w:spacing w:line="48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pStyle w:val="28"/>
        <w:numPr>
          <w:ilvl w:val="0"/>
          <w:numId w:val="2"/>
        </w:numPr>
        <w:adjustRightInd w:val="0"/>
        <w:spacing w:line="600" w:lineRule="exact"/>
        <w:ind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纸质资料数量及提交方式</w:t>
      </w:r>
    </w:p>
    <w:p>
      <w:pPr>
        <w:pStyle w:val="28"/>
        <w:adjustRightInd w:val="0"/>
        <w:spacing w:line="600" w:lineRule="exact"/>
        <w:ind w:left="0" w:firstLine="64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纸质资料一式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胶装成册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纸质申报材料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前往东莞市政务服务中心提交材料。</w:t>
      </w:r>
    </w:p>
    <w:p>
      <w:pPr>
        <w:pStyle w:val="28"/>
        <w:numPr>
          <w:ilvl w:val="0"/>
          <w:numId w:val="2"/>
        </w:numPr>
        <w:adjustRightInd w:val="0"/>
        <w:spacing w:line="600" w:lineRule="exact"/>
        <w:ind w:firstLineChars="0"/>
        <w:jc w:val="lef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纸质材料内容及资料装订顺序</w:t>
      </w:r>
    </w:p>
    <w:p>
      <w:pPr>
        <w:pStyle w:val="28"/>
        <w:adjustRightInd w:val="0"/>
        <w:spacing w:line="600" w:lineRule="exact"/>
        <w:ind w:left="0" w:firstLine="64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纸质申报材料需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胶装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成册，制定目录，目录标记对应内容的页码，不同内容之间做好分页，内容包括：</w:t>
      </w:r>
    </w:p>
    <w:p>
      <w:pPr>
        <w:pStyle w:val="28"/>
        <w:adjustRightInd w:val="0"/>
        <w:spacing w:line="600" w:lineRule="exact"/>
        <w:ind w:left="0"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（一）202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年东莞市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倍增企业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申请表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（原件，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系统生成带水印材料打印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，加盖企业公章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）；</w:t>
      </w:r>
    </w:p>
    <w:p>
      <w:pPr>
        <w:pStyle w:val="28"/>
        <w:adjustRightInd w:val="0"/>
        <w:spacing w:line="600" w:lineRule="exact"/>
        <w:ind w:left="0"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（二）202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年东莞市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倍增企业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申报承诺书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（原件，法人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签字，加盖</w:t>
      </w:r>
      <w:r>
        <w:rPr>
          <w:rFonts w:hint="eastAsia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1"/>
          <w:szCs w:val="31"/>
          <w:lang w:val="en-US" w:eastAsia="zh-CN" w:bidi="ar-SA"/>
        </w:rPr>
        <w:t>公章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）；</w:t>
      </w:r>
    </w:p>
    <w:p>
      <w:pPr>
        <w:adjustRightInd w:val="0"/>
        <w:spacing w:line="600" w:lineRule="exact"/>
        <w:ind w:left="0"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（三）企业倍增发展方案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（复印件，加盖企业公章；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“免申”入库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无需提交）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</w:t>
      </w:r>
    </w:p>
    <w:p>
      <w:pPr>
        <w:adjustRightInd w:val="0"/>
        <w:spacing w:line="600" w:lineRule="exact"/>
        <w:ind w:left="0"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（四）企业简介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（复印件，加盖企业公章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）；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</w:t>
      </w:r>
      <w:r>
        <w:rPr>
          <w:rFonts w:ascii="Times New Roman" w:hAnsi="Times New Roman" w:eastAsia="仿宋_GB2312"/>
          <w:kern w:val="0"/>
          <w:sz w:val="32"/>
          <w:szCs w:val="32"/>
        </w:rPr>
        <w:t>佐证材料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年和202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年的审计报告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2022年、2023年及2024年增值税、企业所得税完税证明和附件1-7</w:t>
      </w:r>
      <w:r>
        <w:rPr>
          <w:rFonts w:hint="eastAsia" w:ascii="Times New Roman" w:hAnsi="Times New Roman" w:eastAsia="仿宋_GB2312"/>
          <w:sz w:val="32"/>
          <w:szCs w:val="32"/>
        </w:rPr>
        <w:t>相关统计报表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。“免申”入库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只需提供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2024年审计报告。</w:t>
      </w:r>
    </w:p>
    <w:p>
      <w:pPr>
        <w:pStyle w:val="28"/>
        <w:numPr>
          <w:ilvl w:val="0"/>
          <w:numId w:val="2"/>
        </w:numPr>
        <w:adjustRightInd w:val="0"/>
        <w:spacing w:line="600" w:lineRule="exact"/>
        <w:ind w:firstLineChars="0"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封面、目录及盖章要求</w:t>
      </w:r>
    </w:p>
    <w:p>
      <w:pPr>
        <w:pStyle w:val="28"/>
        <w:numPr>
          <w:ilvl w:val="-1"/>
          <w:numId w:val="0"/>
        </w:numPr>
        <w:adjustRightInd w:val="0"/>
        <w:spacing w:line="600" w:lineRule="exact"/>
        <w:ind w:left="420" w:leftChars="200" w:firstLine="0" w:firstLineChars="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封面及目录样式参考附件1-3-1及附件1-3-2。</w:t>
      </w:r>
    </w:p>
    <w:p>
      <w:pPr>
        <w:pStyle w:val="28"/>
        <w:numPr>
          <w:ilvl w:val="-1"/>
          <w:numId w:val="0"/>
        </w:numPr>
        <w:adjustRightInd w:val="0"/>
        <w:spacing w:line="600" w:lineRule="exact"/>
        <w:ind w:left="420" w:leftChars="200" w:firstLine="0"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sz w:val="32"/>
          <w:szCs w:val="32"/>
        </w:rPr>
        <w:t>封面及承诺书页面盖章，其他页面盖骑缝章。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1-</w:t>
      </w:r>
      <w:r>
        <w:rPr>
          <w:rFonts w:hint="eastAsia" w:ascii="Times New Roman" w:hAnsi="Times New Roman" w:eastAsia="黑体"/>
          <w:sz w:val="32"/>
          <w:szCs w:val="32"/>
        </w:rPr>
        <w:t>3-1：</w:t>
      </w:r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受理编号：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　　　　　　　　　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园区、镇（街）：</w:t>
      </w:r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年东莞市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倍增企业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申报项目</w:t>
      </w:r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sz w:val="36"/>
          <w:szCs w:val="36"/>
          <w:u w:val="single"/>
        </w:rPr>
      </w:pPr>
      <w:r>
        <w:rPr>
          <w:rFonts w:hint="eastAsia" w:ascii="Times New Roman" w:hAnsi="Times New Roman" w:eastAsia="仿宋_GB2312" w:cs="仿宋_GB2312"/>
          <w:sz w:val="36"/>
          <w:szCs w:val="36"/>
        </w:rPr>
        <w:t>企业名称：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>　　　　　　　　　　　　　　　　</w:t>
      </w:r>
    </w:p>
    <w:p>
      <w:pPr>
        <w:rPr>
          <w:rFonts w:ascii="Times New Roman" w:hAnsi="Times New Roman" w:eastAsia="仿宋_GB2312" w:cs="仿宋_GB2312"/>
          <w:sz w:val="36"/>
          <w:szCs w:val="36"/>
        </w:rPr>
      </w:pPr>
    </w:p>
    <w:p>
      <w:pPr>
        <w:spacing w:line="8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企业地址：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　　　　　　　　　　　　　　　　 </w:t>
      </w:r>
    </w:p>
    <w:p>
      <w:pPr>
        <w:spacing w:line="8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联系人  ：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　　　　　　　　　　　　　　　　 </w:t>
      </w:r>
    </w:p>
    <w:p>
      <w:pPr>
        <w:spacing w:line="8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手机号码：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　　　　　　　　　　　　　　　　 </w:t>
      </w:r>
    </w:p>
    <w:p>
      <w:pPr>
        <w:spacing w:line="80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电子邮箱：</w:t>
      </w:r>
      <w:r>
        <w:rPr>
          <w:rFonts w:hint="eastAsia" w:ascii="Times New Roman" w:hAnsi="Times New Roman" w:eastAsia="仿宋_GB2312" w:cs="仿宋_GB2312"/>
          <w:sz w:val="36"/>
          <w:szCs w:val="36"/>
          <w:u w:val="single"/>
        </w:rPr>
        <w:t xml:space="preserve">　　　　　　　　　　　　　　　　 </w:t>
      </w:r>
    </w:p>
    <w:p>
      <w:pPr>
        <w:spacing w:line="80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80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1-</w:t>
      </w:r>
      <w:r>
        <w:rPr>
          <w:rFonts w:hint="eastAsia" w:ascii="Times New Roman" w:hAnsi="Times New Roman" w:eastAsia="黑体"/>
          <w:sz w:val="32"/>
          <w:szCs w:val="32"/>
        </w:rPr>
        <w:t>3-2：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pStyle w:val="10"/>
        <w:spacing w:before="0" w:beforeAutospacing="0" w:after="0" w:afterAutospacing="0" w:line="60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目  录</w:t>
      </w:r>
    </w:p>
    <w:p>
      <w:pPr>
        <w:pStyle w:val="10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1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年东莞市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倍增企业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申请表》 ……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....</w:t>
      </w:r>
      <w:r>
        <w:rPr>
          <w:rFonts w:ascii="Times New Roman" w:hAnsi="Times New Roman" w:eastAsia="仿宋_GB2312" w:cs="Times New Roman"/>
          <w:sz w:val="32"/>
          <w:szCs w:val="32"/>
        </w:rPr>
        <w:t>……页</w:t>
      </w:r>
    </w:p>
    <w:p>
      <w:pPr>
        <w:pStyle w:val="1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年东莞市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倍增企业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申报承诺书》……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..</w:t>
      </w:r>
      <w:r>
        <w:rPr>
          <w:rFonts w:ascii="Times New Roman" w:hAnsi="Times New Roman" w:eastAsia="仿宋_GB2312" w:cs="Times New Roman"/>
          <w:sz w:val="32"/>
          <w:szCs w:val="32"/>
        </w:rPr>
        <w:t>…页</w:t>
      </w:r>
    </w:p>
    <w:p>
      <w:pPr>
        <w:pStyle w:val="10"/>
        <w:spacing w:before="0" w:beforeAutospacing="0" w:after="0" w:afterAutospacing="0" w:line="600" w:lineRule="exact"/>
        <w:ind w:left="638" w:leftChars="304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/>
          <w:sz w:val="32"/>
          <w:szCs w:val="32"/>
        </w:rPr>
        <w:t>企业倍增发展方案</w:t>
      </w:r>
      <w:r>
        <w:rPr>
          <w:rFonts w:ascii="Times New Roman" w:hAnsi="Times New Roman" w:eastAsia="仿宋_GB2312" w:cs="Times New Roman"/>
          <w:sz w:val="32"/>
          <w:szCs w:val="32"/>
        </w:rPr>
        <w:t>………………………………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...</w:t>
      </w:r>
      <w:r>
        <w:rPr>
          <w:rFonts w:ascii="Times New Roman" w:hAnsi="Times New Roman" w:eastAsia="仿宋_GB2312" w:cs="Times New Roman"/>
          <w:sz w:val="32"/>
          <w:szCs w:val="32"/>
        </w:rPr>
        <w:t>……页</w:t>
      </w:r>
    </w:p>
    <w:p>
      <w:pPr>
        <w:pStyle w:val="10"/>
        <w:spacing w:before="0" w:beforeAutospacing="0" w:after="0" w:afterAutospacing="0" w:line="600" w:lineRule="exact"/>
        <w:ind w:left="638" w:leftChars="304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四、企业简介…………………………………………………页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五、佐证材料</w:t>
      </w:r>
      <w:r>
        <w:rPr>
          <w:rFonts w:ascii="Times New Roman" w:hAnsi="Times New Roman" w:eastAsia="仿宋_GB2312"/>
          <w:sz w:val="32"/>
          <w:szCs w:val="32"/>
        </w:rPr>
        <w:t>…………………………………………………页</w:t>
      </w:r>
    </w:p>
    <w:p>
      <w:pPr>
        <w:pStyle w:val="10"/>
        <w:spacing w:before="0" w:beforeAutospacing="0" w:after="0" w:afterAutospacing="0" w:line="600" w:lineRule="exact"/>
        <w:ind w:firstLine="48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黑体" w:cs="黑体"/>
          <w:sz w:val="32"/>
          <w:szCs w:val="32"/>
        </w:rPr>
        <w:sectPr>
          <w:pgSz w:w="11906" w:h="16838"/>
          <w:pgMar w:top="1701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10"/>
        <w:spacing w:before="0" w:beforeAutospacing="0" w:after="0" w:afterAutospacing="0" w:line="6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附件1-4：</w:t>
      </w:r>
    </w:p>
    <w:p>
      <w:pPr>
        <w:pStyle w:val="10"/>
        <w:spacing w:before="0" w:beforeAutospacing="0" w:after="0" w:afterAutospacing="0" w:line="560" w:lineRule="exact"/>
        <w:ind w:firstLine="480" w:firstLineChars="200"/>
        <w:jc w:val="both"/>
        <w:rPr>
          <w:rFonts w:ascii="Times New Roman" w:hAnsi="Times New Roman" w:eastAsia="仿宋_GB2312" w:cs="Times New Roman"/>
        </w:rPr>
      </w:pPr>
    </w:p>
    <w:p>
      <w:pPr>
        <w:spacing w:line="560" w:lineRule="exact"/>
        <w:jc w:val="center"/>
        <w:rPr>
          <w:rFonts w:ascii="Times New Roman" w:hAnsi="Times New Roman" w:eastAsia="方正大标宋简体" w:cs="方正大标宋简体"/>
          <w:sz w:val="44"/>
          <w:szCs w:val="44"/>
        </w:rPr>
      </w:pPr>
      <w:r>
        <w:rPr>
          <w:rFonts w:hint="eastAsia" w:ascii="Times New Roman" w:hAnsi="Times New Roman" w:eastAsia="方正大标宋简体" w:cs="方正大标宋简体"/>
          <w:sz w:val="44"/>
          <w:szCs w:val="44"/>
          <w:lang w:val="en-US" w:eastAsia="zh-CN"/>
        </w:rPr>
        <w:t>企业倍增</w:t>
      </w:r>
      <w:r>
        <w:rPr>
          <w:rFonts w:hint="eastAsia" w:ascii="Times New Roman" w:hAnsi="Times New Roman" w:eastAsia="方正大标宋简体" w:cs="方正大标宋简体"/>
          <w:sz w:val="44"/>
          <w:szCs w:val="44"/>
        </w:rPr>
        <w:t>发展方案（</w:t>
      </w:r>
      <w:r>
        <w:rPr>
          <w:rFonts w:hint="eastAsia" w:ascii="Times New Roman" w:hAnsi="Times New Roman" w:eastAsia="方正大标宋简体" w:cs="方正大标宋简体"/>
          <w:sz w:val="44"/>
          <w:szCs w:val="44"/>
          <w:lang w:eastAsia="zh-CN"/>
        </w:rPr>
        <w:t>参考</w:t>
      </w:r>
      <w:r>
        <w:rPr>
          <w:rFonts w:hint="eastAsia" w:ascii="Times New Roman" w:hAnsi="Times New Roman" w:eastAsia="方正大标宋简体" w:cs="方正大标宋简体"/>
          <w:sz w:val="44"/>
          <w:szCs w:val="44"/>
        </w:rPr>
        <w:t>模版）</w:t>
      </w:r>
    </w:p>
    <w:p>
      <w:pPr>
        <w:spacing w:line="560" w:lineRule="exact"/>
        <w:jc w:val="center"/>
        <w:rPr>
          <w:rFonts w:ascii="Times New Roman" w:hAnsi="Times New Roman" w:eastAsia="方正大标宋简体" w:cs="方正大标宋简体"/>
          <w:sz w:val="44"/>
          <w:szCs w:val="44"/>
        </w:rPr>
      </w:pPr>
    </w:p>
    <w:p>
      <w:pPr>
        <w:pStyle w:val="10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公司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响应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东莞市委、市政府的号召，决定申报加入市“倍增计划”专项行动，实现效益倍增的目的、原因等等作开头。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</w:rPr>
        <w:t>企业优势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（企业核心竞争力）。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1、管理团队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2、技术团队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3、技术水平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4、市场情况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5、其他优势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二、实现倍增具体重点工作及实施步骤。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（一）（第一年预期实现目标及措施）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（二）（第二年预期实现目标及措施）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（三）（第三年预期实现目标及措施）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从企业管理、技术研发、增资扩产、数字化转型、并购上市、总部经济、</w:t>
      </w:r>
      <w:r>
        <w:rPr>
          <w:rFonts w:ascii="Times New Roman" w:hAnsi="Times New Roman" w:eastAsia="仿宋_GB2312"/>
          <w:sz w:val="32"/>
          <w:szCs w:val="32"/>
        </w:rPr>
        <w:t>产业链整合</w:t>
      </w:r>
      <w:r>
        <w:rPr>
          <w:rFonts w:hint="eastAsia" w:ascii="Times New Roman" w:hAnsi="Times New Roman" w:eastAsia="仿宋_GB2312"/>
          <w:sz w:val="32"/>
          <w:szCs w:val="32"/>
        </w:rPr>
        <w:t>等方面提出实现倍增具体工作和措施。</w:t>
      </w: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1-</w:t>
      </w:r>
      <w:r>
        <w:rPr>
          <w:rFonts w:hint="eastAsia" w:ascii="Times New Roman" w:hAnsi="Times New Roman" w:eastAsia="黑体"/>
          <w:sz w:val="32"/>
          <w:szCs w:val="32"/>
        </w:rPr>
        <w:t>5：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企业简介（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参考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模版）</w:t>
      </w:r>
    </w:p>
    <w:p>
      <w:pPr>
        <w:widowControl/>
        <w:spacing w:line="600" w:lineRule="exact"/>
        <w:jc w:val="both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widowControl/>
        <w:numPr>
          <w:ilvl w:val="0"/>
          <w:numId w:val="3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基本信息</w:t>
      </w:r>
    </w:p>
    <w:p>
      <w:pPr>
        <w:pStyle w:val="28"/>
        <w:widowControl/>
        <w:numPr>
          <w:ilvl w:val="0"/>
          <w:numId w:val="4"/>
        </w:numPr>
        <w:spacing w:line="600" w:lineRule="exact"/>
        <w:ind w:firstLineChars="0"/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企业统一信用代码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pStyle w:val="28"/>
        <w:widowControl/>
        <w:numPr>
          <w:ilvl w:val="0"/>
          <w:numId w:val="4"/>
        </w:numPr>
        <w:spacing w:line="600" w:lineRule="exact"/>
        <w:ind w:firstLineChars="0"/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企业行业类别及代码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pStyle w:val="28"/>
        <w:widowControl/>
        <w:numPr>
          <w:ilvl w:val="0"/>
          <w:numId w:val="4"/>
        </w:numPr>
        <w:spacing w:line="600" w:lineRule="exact"/>
        <w:ind w:firstLineChars="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企业注册地址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pStyle w:val="28"/>
        <w:widowControl/>
        <w:numPr>
          <w:ilvl w:val="0"/>
          <w:numId w:val="4"/>
        </w:numPr>
        <w:spacing w:line="600" w:lineRule="exact"/>
        <w:ind w:firstLineChars="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企业内外资情况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：企业属于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资企业（内/外/港/台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外国资本企业请写明国别）</w:t>
      </w:r>
    </w:p>
    <w:p>
      <w:pPr>
        <w:pStyle w:val="28"/>
        <w:widowControl/>
        <w:numPr>
          <w:ilvl w:val="0"/>
          <w:numId w:val="4"/>
        </w:numPr>
        <w:spacing w:line="600" w:lineRule="exact"/>
        <w:ind w:firstLineChars="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企业主营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  <w:lang w:eastAsia="zh-CN"/>
        </w:rPr>
        <w:t>业务</w:t>
      </w: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>
      <w:pPr>
        <w:pStyle w:val="28"/>
        <w:widowControl/>
        <w:numPr>
          <w:ilvl w:val="0"/>
          <w:numId w:val="4"/>
        </w:numPr>
        <w:spacing w:line="600" w:lineRule="exact"/>
        <w:ind w:firstLineChars="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企业外销比例：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企业出口业务占主营业务的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%，主要出口地区是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     。</w:t>
      </w:r>
    </w:p>
    <w:p>
      <w:pPr>
        <w:pStyle w:val="28"/>
        <w:widowControl/>
        <w:numPr>
          <w:ilvl w:val="0"/>
          <w:numId w:val="4"/>
        </w:numPr>
        <w:spacing w:line="600" w:lineRule="exact"/>
        <w:ind w:firstLineChars="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上年度研发费用约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万元，研发投入占营业收入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%，</w:t>
      </w:r>
    </w:p>
    <w:p>
      <w:pPr>
        <w:pStyle w:val="28"/>
        <w:widowControl/>
        <w:numPr>
          <w:ilvl w:val="0"/>
          <w:numId w:val="4"/>
        </w:numPr>
        <w:spacing w:line="600" w:lineRule="exact"/>
        <w:ind w:firstLineChars="0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kern w:val="0"/>
          <w:sz w:val="32"/>
          <w:szCs w:val="32"/>
        </w:rPr>
        <w:t>企业近年经营数据：</w:t>
      </w:r>
    </w:p>
    <w:tbl>
      <w:tblPr>
        <w:tblStyle w:val="13"/>
        <w:tblpPr w:leftFromText="180" w:rightFromText="180" w:vertAnchor="text" w:horzAnchor="page" w:tblpX="1425" w:tblpY="109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9"/>
        <w:gridCol w:w="1215"/>
        <w:gridCol w:w="1259"/>
        <w:gridCol w:w="1723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09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年份</w:t>
            </w:r>
          </w:p>
        </w:tc>
        <w:tc>
          <w:tcPr>
            <w:tcW w:w="1469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营业收入（万元）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税收（万元）</w:t>
            </w:r>
          </w:p>
        </w:tc>
        <w:tc>
          <w:tcPr>
            <w:tcW w:w="1259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产值（万元）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利润总额（万元）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进出口总额（万元）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146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2023年</w:t>
            </w:r>
          </w:p>
        </w:tc>
        <w:tc>
          <w:tcPr>
            <w:tcW w:w="146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</w:t>
            </w:r>
          </w:p>
        </w:tc>
        <w:tc>
          <w:tcPr>
            <w:tcW w:w="146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3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企业场地情况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现在东莞范围内已有共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处经营场地</w:t>
      </w:r>
      <w:r>
        <w:rPr>
          <w:rFonts w:hint="eastAsia" w:ascii="Times New Roman" w:hAnsi="Times New Roman" w:eastAsia="仿宋_GB2312"/>
          <w:sz w:val="32"/>
          <w:szCs w:val="32"/>
        </w:rPr>
        <w:t>。第一个经营场地为自有/租赁，</w:t>
      </w:r>
      <w:r>
        <w:rPr>
          <w:rFonts w:ascii="Times New Roman" w:hAnsi="Times New Roman" w:eastAsia="仿宋_GB2312"/>
          <w:sz w:val="32"/>
          <w:szCs w:val="32"/>
        </w:rPr>
        <w:t>位于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镇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路/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工业园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占地面积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平方米，建筑面积</w:t>
      </w:r>
      <w:r>
        <w:rPr>
          <w:rFonts w:hint="eastAsia" w:ascii="Times New Roman" w:hAnsi="Times New Roman" w:eastAsia="仿宋_GB2312"/>
          <w:i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平方米，主要用来生产    产品/行政办公；第二个经营场地为……；第三个经营场地为……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正在增加或计划增加生产基地情况：正在/计划自行建设/租赁</w:t>
      </w:r>
      <w:r>
        <w:rPr>
          <w:rFonts w:ascii="Times New Roman" w:hAnsi="Times New Roman" w:eastAsia="仿宋_GB2312"/>
          <w:sz w:val="32"/>
          <w:szCs w:val="32"/>
        </w:rPr>
        <w:t>位于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镇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路/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工业园，占地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平方米，建筑面积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平方米，预计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月投入使用，主要用来生产    产品/行政办公）</w:t>
      </w:r>
    </w:p>
    <w:p>
      <w:pPr>
        <w:widowControl/>
        <w:numPr>
          <w:ilvl w:val="0"/>
          <w:numId w:val="3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员工情况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现共有约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名员工，研发员工占比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%，生产员工占比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%。本科学历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名，硕士学历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名，博士学历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名。</w:t>
      </w:r>
    </w:p>
    <w:p>
      <w:pPr>
        <w:widowControl/>
        <w:numPr>
          <w:ilvl w:val="0"/>
          <w:numId w:val="3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资质荣誉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目前，公司已获得有效资质、称号包括：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拥有______实验室，实验室通过______评定，拥有______生产线，获得______部门认定为_______示范项目等。</w:t>
      </w:r>
    </w:p>
    <w:p>
      <w:pPr>
        <w:widowControl/>
        <w:numPr>
          <w:ilvl w:val="0"/>
          <w:numId w:val="3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行业地位和产业情况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行业地位：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</w:rPr>
        <w:t>（某产品在国际或国内行业排名，或市场占有率）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>产业链情况：企业产品上游产业或产品类型主要是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；企业产品下游产业或产品类型主要是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1-</w:t>
      </w:r>
      <w:r>
        <w:rPr>
          <w:rFonts w:hint="eastAsia" w:ascii="Times New Roman" w:hAnsi="Times New Roman" w:eastAsia="黑体"/>
          <w:sz w:val="32"/>
          <w:szCs w:val="32"/>
        </w:rPr>
        <w:t>7：</w:t>
      </w:r>
    </w:p>
    <w:p>
      <w:pPr>
        <w:widowControl/>
        <w:jc w:val="lef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大标宋简体" w:cs="方正大标宋简体"/>
          <w:sz w:val="44"/>
          <w:szCs w:val="44"/>
        </w:rPr>
      </w:pPr>
      <w:r>
        <w:rPr>
          <w:rFonts w:hint="eastAsia" w:ascii="Times New Roman" w:hAnsi="Times New Roman" w:eastAsia="方正大标宋简体" w:cs="方正大标宋简体"/>
          <w:sz w:val="44"/>
          <w:szCs w:val="44"/>
        </w:rPr>
        <w:t>上传报表清单</w:t>
      </w:r>
    </w:p>
    <w:p>
      <w:pPr>
        <w:widowControl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EXCEL格式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放一个文件夹，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打包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成一个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压缩包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作附件上传，没有固定资产投资项目情况表不用上传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tbl>
      <w:tblPr>
        <w:tblStyle w:val="12"/>
        <w:tblW w:w="521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093"/>
        <w:gridCol w:w="6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报表年度</w:t>
            </w:r>
          </w:p>
        </w:tc>
        <w:tc>
          <w:tcPr>
            <w:tcW w:w="392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</w:rPr>
              <w:t>报表名称及表号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30"/>
                <w:rFonts w:hint="default" w:ascii="Times New Roman" w:hAnsi="Times New Roman"/>
              </w:rPr>
            </w:pPr>
            <w:r>
              <w:rPr>
                <w:rStyle w:val="30"/>
                <w:rFonts w:hint="default" w:ascii="Times New Roman" w:hAnsi="Times New Roman"/>
              </w:rPr>
              <w:t>202</w:t>
            </w:r>
            <w:r>
              <w:rPr>
                <w:rStyle w:val="30"/>
                <w:rFonts w:hint="eastAsia" w:ascii="Times New Roman" w:hAnsi="Times New Roman" w:eastAsia="仿宋_GB2312"/>
                <w:lang w:val="en-US" w:eastAsia="zh-CN"/>
              </w:rPr>
              <w:t>2</w:t>
            </w:r>
            <w:r>
              <w:rPr>
                <w:rStyle w:val="30"/>
                <w:rFonts w:hint="default" w:ascii="Times New Roman" w:hAnsi="Times New Roman"/>
              </w:rPr>
              <w:t>年</w:t>
            </w:r>
          </w:p>
        </w:tc>
        <w:tc>
          <w:tcPr>
            <w:tcW w:w="3922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1.财务状况表，表号：B203表或F203表或E203表或C203表或S203表或E203表（12月报表）；</w:t>
            </w:r>
          </w:p>
          <w:p>
            <w:pPr>
              <w:widowControl/>
              <w:jc w:val="left"/>
              <w:textAlignment w:val="center"/>
              <w:rPr>
                <w:rStyle w:val="30"/>
                <w:rFonts w:hint="default" w:ascii="Times New Roman" w:hAnsi="Times New Roman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2.固定资产投资项目情况表，表号：206-1表，206-2表（12月报表）；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2" w:hRule="atLeast"/>
        </w:trPr>
        <w:tc>
          <w:tcPr>
            <w:tcW w:w="4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922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1.财务状况表，表号：B203表或F203表或E203表或C203表或S203表或E203表（12月报表）；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2.固定资产投资项目情况表，表号：206-1表，206-2表（12月报表）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2" w:hRule="atLeast"/>
        </w:trPr>
        <w:tc>
          <w:tcPr>
            <w:tcW w:w="44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922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1.财务状况表，表号：B203表或F203表或E203表或C203表或S203表或E203表（12月报表）；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2.固定资产投资项目情况表，表号：206-1表，206-2表（12月报表）。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widowControl/>
        <w:spacing w:line="24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附件1-8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600" w:lineRule="exact"/>
        <w:ind w:left="-141" w:leftChars="-67" w:right="-340" w:rightChars="-162"/>
        <w:jc w:val="center"/>
        <w:rPr>
          <w:rFonts w:hint="eastAsia"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各园区、镇（街）企业遴选业务联系方式</w:t>
      </w:r>
    </w:p>
    <w:tbl>
      <w:tblPr>
        <w:tblStyle w:val="12"/>
        <w:tblW w:w="8864" w:type="dxa"/>
        <w:tblInd w:w="-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0"/>
        <w:gridCol w:w="1694"/>
        <w:gridCol w:w="184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园区、镇（街）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许秋冰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83002680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肖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陈永锋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83331672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傅贵良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82816317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詹伟权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22220130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陈小明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81332611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叶毅英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28680230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大岭山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袁群好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83353368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叶沛华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21689023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简志锋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22331601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刘钟良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黄剑豪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83861098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叶沛华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21689023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莫梓薇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87510818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陈肖贞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赵高强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81302212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刘钟良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莞城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张自领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"/>
              </w:rPr>
              <w:t>22102878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肖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朱嘉兴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81018007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陈丽群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88842777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冼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23381995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厚街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陈运潮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85882128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陈梓麟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虎门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钟静琛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81778336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陈梓麟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黄煜斌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83361283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詹伟权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22220130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寮步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陈淑茵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83226955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杜家伟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88233966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冼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23381995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张晓琳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22880995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詹伟权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22220130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柯煜威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82669978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刘镇平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81038268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陈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余晓明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87366789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陈梓麟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郭颖筠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88868005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刘钟良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林小敏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86366168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詹伟权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22220130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孙铭铭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86118160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冼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23381995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杨咏熙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86651420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叶沛华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21689023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松山湖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叶晓东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22898952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陈梓麟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塘厦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黄金英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82088711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陈肖贞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叶宝莹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22278893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刘钟良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望牛墩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刘东丽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88856978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叶毅英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28680230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飙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谢岗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周瑾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87762963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冼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莉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23381995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罗紫维</w:t>
            </w: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樟木头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蔡嘉炜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82337799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陈肖贞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赖育斌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87783889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陈肖贞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简家俊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85533913-546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刘钟良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23308812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郭婉章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88810633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叶毅英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28680230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仿宋_GB2312" w:cs="仿宋_GB2312"/>
          <w:color w:val="FF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widowControl/>
        <w:spacing w:line="240" w:lineRule="auto"/>
        <w:jc w:val="left"/>
        <w:textAlignment w:val="auto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</w:rPr>
        <w:t>附件1-9：</w:t>
      </w:r>
    </w:p>
    <w:p>
      <w:pPr>
        <w:spacing w:line="640" w:lineRule="exact"/>
        <w:jc w:val="center"/>
        <w:textAlignment w:val="baseline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东莞市“倍增企业”高质量评价指标评分表</w:t>
      </w:r>
    </w:p>
    <w:p>
      <w:pPr>
        <w:spacing w:line="640" w:lineRule="exact"/>
        <w:ind w:firstLine="880" w:firstLineChars="200"/>
        <w:textAlignment w:val="baseline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 xml:space="preserve"> </w:t>
      </w:r>
    </w:p>
    <w:tbl>
      <w:tblPr>
        <w:tblStyle w:val="12"/>
        <w:tblW w:w="13168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"/>
        <w:gridCol w:w="1273"/>
        <w:gridCol w:w="1203"/>
        <w:gridCol w:w="2491"/>
        <w:gridCol w:w="7086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类别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小类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指标内容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评分标准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273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基准指标（</w:t>
            </w:r>
            <w:r>
              <w:rPr>
                <w:rFonts w:ascii="Times New Roman" w:hAnsi="Times New Roman"/>
                <w:kern w:val="0"/>
                <w:sz w:val="24"/>
              </w:rPr>
              <w:t>100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营业收入（3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营业收入（3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上年营业收入增量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上年营业收入增量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（1亿元）×15；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※得分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hint="eastAsia" w:ascii="Times New Roman" w:hAnsi="Times New Roman"/>
                <w:sz w:val="24"/>
              </w:rPr>
              <w:t>上年</w:t>
            </w:r>
            <w:r>
              <w:rPr>
                <w:rFonts w:hint="eastAsia" w:ascii="Times New Roman" w:hAnsi="Times New Roman"/>
                <w:kern w:val="0"/>
                <w:sz w:val="24"/>
              </w:rPr>
              <w:t>营业收入增量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（0.5亿元）×15；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（软件和信息技术服务业）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最多不超过15分，最少不低于0分。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前年营业收入增长率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（同比）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前年营业收入增长率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（前年营业收入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大前年营业收入）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大前年营业收入×</w:t>
            </w:r>
            <w:r>
              <w:rPr>
                <w:rFonts w:ascii="Times New Roman" w:hAnsi="Times New Roman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25%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，（营业收入10亿元以下）；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前年营业收入增长率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（前年营业收入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大前年营业收入）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大前年营业收入×</w:t>
            </w:r>
            <w:r>
              <w:rPr>
                <w:rFonts w:ascii="Times New Roman" w:hAnsi="Times New Roman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（1</w:t>
            </w:r>
            <w:r>
              <w:rPr>
                <w:rFonts w:ascii="Times New Roman" w:hAnsi="Times New Roman"/>
                <w:kern w:val="0"/>
                <w:sz w:val="24"/>
              </w:rPr>
              <w:t>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，（营业收入10-50亿元）；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前年营业收入增长率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（前年营业收入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大前年营业收入）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大前年营业收入×</w:t>
            </w:r>
            <w:r>
              <w:rPr>
                <w:rFonts w:ascii="Times New Roman" w:hAnsi="Times New Roman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，（企业营业收入50亿元以上）；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最多不超过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分，最少不低于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分。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3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273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基准指标</w:t>
            </w:r>
          </w:p>
          <w:p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100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分）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基准指标</w:t>
            </w:r>
          </w:p>
          <w:p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100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分）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基准指标</w:t>
            </w:r>
          </w:p>
          <w:p>
            <w:pPr>
              <w:spacing w:line="3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100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分）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上年营业收入增长率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（同比）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（上年营业收入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前年营业收入）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前年营业收入×</w:t>
            </w:r>
            <w:r>
              <w:rPr>
                <w:rFonts w:ascii="Times New Roman" w:hAnsi="Times New Roman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25%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，（营业收入10亿元以下）；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（上年营业收入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前年营业收入）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前年营业收入×</w:t>
            </w:r>
            <w:r>
              <w:rPr>
                <w:rFonts w:ascii="Times New Roman" w:hAnsi="Times New Roman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（1</w:t>
            </w:r>
            <w:r>
              <w:rPr>
                <w:rFonts w:ascii="Times New Roman" w:hAnsi="Times New Roman"/>
                <w:kern w:val="0"/>
                <w:sz w:val="24"/>
              </w:rPr>
              <w:t>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，（营业收入10-50亿元）；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（上年营业收入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前年营业收入）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前年营业收入×</w:t>
            </w:r>
            <w:r>
              <w:rPr>
                <w:rFonts w:ascii="Times New Roman" w:hAnsi="Times New Roman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上年营业收入增长率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，（营业收入50亿元以上）；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最多不超过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分，最少不低于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盈利能力（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分）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盈利能力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上年利润总额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利润总额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200</w:t>
            </w:r>
            <w:r>
              <w:rPr>
                <w:rFonts w:hint="eastAsia" w:ascii="Times New Roman" w:hAnsi="Times New Roman"/>
                <w:kern w:val="0"/>
                <w:sz w:val="24"/>
              </w:rPr>
              <w:t>万元），最多不超过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分，最少不低于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前年利润总额增长率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（同比）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前年利润总额增长率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（前年利润总额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大前年利润总额）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大前年利润总额献绝对值×</w:t>
            </w:r>
            <w:r>
              <w:rPr>
                <w:rFonts w:ascii="Times New Roman" w:hAnsi="Times New Roman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25%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）×10，（营业收入10亿元以下）；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前年利润总额增长率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（前年利润总额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大前年利润总额）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大前年利润总额绝对值×</w:t>
            </w:r>
            <w:r>
              <w:rPr>
                <w:rFonts w:ascii="Times New Roman" w:hAnsi="Times New Roman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（1</w:t>
            </w:r>
            <w:r>
              <w:rPr>
                <w:rFonts w:ascii="Times New Roman" w:hAnsi="Times New Roman"/>
                <w:kern w:val="0"/>
                <w:sz w:val="24"/>
              </w:rPr>
              <w:t>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）×10，（营业收入10-50亿元）；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前年利润总额增长率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（前年利润总额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大前年利润总额）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大前年利润总额绝对值×</w:t>
            </w:r>
            <w:r>
              <w:rPr>
                <w:rFonts w:ascii="Times New Roman" w:hAnsi="Times New Roman"/>
                <w:kern w:val="0"/>
                <w:sz w:val="24"/>
              </w:rPr>
              <w:t>100%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）×10，（营业收入50亿元以上）；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最多不超过10分，最少不低于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分。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上年利润总额增长率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（同比）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（上年利润总额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前年利润总额）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前年利润总额绝对值，得分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25%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0，（企业营业收入10亿元以下）；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（上年利润总额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前年利润总额）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前年利润总额绝对值，得分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（1</w:t>
            </w:r>
            <w:r>
              <w:rPr>
                <w:rFonts w:ascii="Times New Roman" w:hAnsi="Times New Roman"/>
                <w:kern w:val="0"/>
                <w:sz w:val="24"/>
              </w:rPr>
              <w:t>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0，（企业营业收入10-50亿元）；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（上年利润总额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前年利润总额）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前年利润总额绝对值，得分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上年利润总额增长率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0，（企业营业收入50亿元以上）；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最多不超过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0分，最少不低于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分。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上年资产利润率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上年资产利润率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利润总额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资产总额，得分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上年资产利润率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20%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）×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5，最多不超过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5分，最少不低于</w:t>
            </w:r>
            <w:r>
              <w:rPr>
                <w:rFonts w:ascii="Times New Roman" w:hAnsi="Times New Roman"/>
                <w:kern w:val="0"/>
                <w:sz w:val="24"/>
              </w:rPr>
              <w:t>-1</w:t>
            </w:r>
            <w:r>
              <w:rPr>
                <w:rFonts w:hint="eastAsia" w:ascii="Times New Roman" w:hAnsi="Times New Roman"/>
                <w:kern w:val="0"/>
                <w:sz w:val="24"/>
              </w:rPr>
              <w:t>5分。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科技研发（20分）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上年研发费用占营业收入比例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得分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hint="eastAsia" w:ascii="Times New Roman" w:hAnsi="Times New Roman"/>
                <w:sz w:val="24"/>
              </w:rPr>
              <w:t>上年研发费用占营业收入比例/（0.5%），最多不超过10分。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上年研发费用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得分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上年研发费用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2000</w:t>
            </w:r>
            <w:r>
              <w:rPr>
                <w:rFonts w:hint="eastAsia" w:ascii="Times New Roman" w:hAnsi="Times New Roman"/>
                <w:sz w:val="24"/>
              </w:rPr>
              <w:t>万元）×5，最多不超过5分。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专利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项发明专利授权或当年PCT专利申报数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分；本项可累计，最高5分。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1273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加分指标（最高20分）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工业投资（最高10分）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上年工业投资总额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上年工业投资总额</w:t>
            </w:r>
            <w:r>
              <w:rPr>
                <w:rFonts w:hint="eastAsia" w:ascii="Times New Roman" w:hAnsi="Times New Roman"/>
                <w:sz w:val="24"/>
              </w:rPr>
              <w:t>1亿元以上，得5分；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上年工业投资总额</w:t>
            </w:r>
            <w:r>
              <w:rPr>
                <w:rFonts w:hint="eastAsia" w:ascii="Times New Roman" w:hAnsi="Times New Roman"/>
                <w:sz w:val="24"/>
              </w:rPr>
              <w:t>5亿元以上，得8分；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上年工业投资总额</w:t>
            </w:r>
            <w:r>
              <w:rPr>
                <w:rFonts w:hint="eastAsia" w:ascii="Times New Roman" w:hAnsi="Times New Roman"/>
                <w:sz w:val="24"/>
              </w:rPr>
              <w:t>10亿元以上，得10分。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重大项目情况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已动工建设并按计划推进的省级或市级重大建设项目，得</w:t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分。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资本运营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（10分）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上市运作情况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上市企业10分；排队企业（交易所已受理、过会）</w:t>
            </w:r>
            <w:r>
              <w:rPr>
                <w:rFonts w:ascii="Times New Roman" w:hAnsi="Times New Roman"/>
                <w:kern w:val="0"/>
                <w:sz w:val="24"/>
              </w:rPr>
              <w:t>8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分；在广东证监局备案企业</w:t>
            </w:r>
            <w:r>
              <w:rPr>
                <w:rFonts w:ascii="Times New Roman" w:hAnsi="Times New Roman"/>
                <w:kern w:val="0"/>
                <w:sz w:val="24"/>
              </w:rPr>
              <w:t>6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分；上市后备企业和新三板挂牌企业</w:t>
            </w: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1273" w:type="dxa"/>
            <w:vMerge w:val="restart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加分指标（最高20分）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荣誉称号（10分）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荣誉称号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获得国家级荣誉称号，得10分；（国家级荣誉称号包括</w:t>
            </w:r>
            <w:r>
              <w:rPr>
                <w:rFonts w:hint="eastAsia" w:ascii="Times New Roman" w:hAnsi="Times New Roman"/>
                <w:kern w:val="0"/>
                <w:sz w:val="24"/>
              </w:rPr>
              <w:t>国家级专精特新小巨人、国家级工业设计中心、国家级服务型制造示范企业、平台、国家工程研究中心、国家企业技术中心、国家技术创新示范企业、国家制造业创新中心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获得省级荣誉称号，得5分；（省级荣誉称号包括在</w:t>
            </w:r>
            <w:r>
              <w:rPr>
                <w:rFonts w:hint="eastAsia" w:ascii="Times New Roman" w:hAnsi="Times New Roman"/>
                <w:kern w:val="0"/>
                <w:sz w:val="24"/>
              </w:rPr>
              <w:t>省专精特新中小企业、省级工业设计中心、省级服务型制造示范企业、平台、省级工程技术研究中心、省级重点实验室、省级制造业创新中心、省级企业技术中心、省级工程研究中心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获中国驰名商标，得5分；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</w:t>
            </w:r>
            <w:r>
              <w:rPr>
                <w:rFonts w:ascii="Times New Roman" w:hAnsi="Times New Roman"/>
                <w:kern w:val="0"/>
                <w:sz w:val="24"/>
              </w:rPr>
              <w:t>AEO</w:t>
            </w:r>
            <w:r>
              <w:rPr>
                <w:rFonts w:hint="eastAsia" w:ascii="Times New Roman" w:hAnsi="Times New Roman"/>
                <w:kern w:val="0"/>
                <w:sz w:val="24"/>
              </w:rPr>
              <w:t>高级认证，得4分；</w:t>
            </w:r>
          </w:p>
          <w:p>
            <w:pPr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市加工贸易重点企业，得4分；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高新技术企业，得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分。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10</w:t>
            </w:r>
            <w:r>
              <w:rPr>
                <w:rFonts w:hint="eastAsia" w:ascii="Times New Roman" w:hAnsi="Times New Roman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进出口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（10分）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上年进出口额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  <w:r>
              <w:rPr>
                <w:rFonts w:hint="eastAsia" w:ascii="Times New Roman" w:hAnsi="Times New Roman"/>
                <w:kern w:val="0"/>
                <w:sz w:val="24"/>
              </w:rPr>
              <w:t>亿元以上，</w:t>
            </w:r>
            <w:r>
              <w:rPr>
                <w:rFonts w:ascii="Times New Roman" w:hAnsi="Times New Roman"/>
                <w:kern w:val="0"/>
                <w:sz w:val="24"/>
              </w:rPr>
              <w:t>6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分；</w:t>
            </w:r>
            <w:r>
              <w:rPr>
                <w:rFonts w:ascii="Times New Roman" w:hAnsi="Times New Roman"/>
                <w:kern w:val="0"/>
                <w:sz w:val="24"/>
              </w:rPr>
              <w:t>5-10</w:t>
            </w:r>
            <w:r>
              <w:rPr>
                <w:rFonts w:hint="eastAsia" w:ascii="Times New Roman" w:hAnsi="Times New Roman"/>
                <w:kern w:val="0"/>
                <w:sz w:val="24"/>
              </w:rPr>
              <w:t>亿元（不含），</w:t>
            </w: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分；</w:t>
            </w:r>
            <w:r>
              <w:rPr>
                <w:rFonts w:ascii="Times New Roman" w:hAnsi="Times New Roman"/>
                <w:kern w:val="0"/>
                <w:sz w:val="24"/>
              </w:rPr>
              <w:t>2-5</w:t>
            </w:r>
            <w:r>
              <w:rPr>
                <w:rFonts w:hint="eastAsia" w:ascii="Times New Roman" w:hAnsi="Times New Roman"/>
                <w:kern w:val="0"/>
                <w:sz w:val="24"/>
              </w:rPr>
              <w:t>亿元（不含），</w:t>
            </w: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分；</w:t>
            </w:r>
            <w:r>
              <w:rPr>
                <w:rFonts w:ascii="Times New Roman" w:hAnsi="Times New Roman"/>
                <w:kern w:val="0"/>
                <w:sz w:val="24"/>
              </w:rPr>
              <w:t>1-2</w:t>
            </w:r>
            <w:r>
              <w:rPr>
                <w:rFonts w:hint="eastAsia" w:ascii="Times New Roman" w:hAnsi="Times New Roman"/>
                <w:kern w:val="0"/>
                <w:sz w:val="24"/>
              </w:rPr>
              <w:t>亿元（不含），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分；</w:t>
            </w:r>
            <w:r>
              <w:rPr>
                <w:rFonts w:ascii="Times New Roman" w:hAnsi="Times New Roman"/>
                <w:kern w:val="0"/>
                <w:sz w:val="24"/>
              </w:rPr>
              <w:t>3000</w:t>
            </w:r>
            <w:r>
              <w:rPr>
                <w:rFonts w:hint="eastAsia" w:ascii="Times New Roman" w:hAnsi="Times New Roman"/>
                <w:kern w:val="0"/>
                <w:sz w:val="24"/>
              </w:rPr>
              <w:t>万</w:t>
            </w:r>
            <w:r>
              <w:rPr>
                <w:rFonts w:ascii="Times New Roman" w:hAnsi="Times New Roman"/>
                <w:kern w:val="0"/>
                <w:sz w:val="24"/>
              </w:rPr>
              <w:t>-1</w:t>
            </w:r>
            <w:r>
              <w:rPr>
                <w:rFonts w:hint="eastAsia" w:ascii="Times New Roman" w:hAnsi="Times New Roman"/>
                <w:kern w:val="0"/>
                <w:sz w:val="24"/>
              </w:rPr>
              <w:t>亿元（不含），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分；</w:t>
            </w:r>
            <w:r>
              <w:rPr>
                <w:rFonts w:ascii="Times New Roman" w:hAnsi="Times New Roman"/>
                <w:kern w:val="0"/>
                <w:sz w:val="24"/>
              </w:rPr>
              <w:t>3000</w:t>
            </w:r>
            <w:r>
              <w:rPr>
                <w:rFonts w:hint="eastAsia" w:ascii="Times New Roman" w:hAnsi="Times New Roman"/>
                <w:kern w:val="0"/>
                <w:sz w:val="24"/>
              </w:rPr>
              <w:t>万以下，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仿宋_GB2312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上年进出口增长率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上年进出口增长率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（上年进出口</w:t>
            </w:r>
            <w:r>
              <w:rPr>
                <w:rFonts w:ascii="Times New Roman" w:hAnsi="Times New Roman"/>
                <w:kern w:val="0"/>
                <w:sz w:val="24"/>
              </w:rPr>
              <w:t>-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前年进出口）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前年进出口</w:t>
            </w:r>
            <w:r>
              <w:rPr>
                <w:rFonts w:ascii="Times New Roman" w:hAnsi="Times New Roman"/>
                <w:kern w:val="0"/>
                <w:sz w:val="24"/>
              </w:rPr>
              <w:t>*100%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，得分</w:t>
            </w:r>
            <w:r>
              <w:rPr>
                <w:rFonts w:ascii="Times New Roman" w:hAnsi="Times New Roman"/>
                <w:kern w:val="0"/>
                <w:sz w:val="24"/>
              </w:rPr>
              <w:t>=</w:t>
            </w:r>
            <w:r>
              <w:rPr>
                <w:rFonts w:hint="eastAsia" w:ascii="Times New Roman" w:hAnsi="Times New Roman"/>
                <w:kern w:val="0"/>
                <w:sz w:val="24"/>
              </w:rPr>
              <w:t>上年企业进出口增长率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25%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</w:t>
            </w:r>
            <w:r>
              <w:rPr>
                <w:rFonts w:ascii="Times New Roman" w:hAnsi="Times New Roman"/>
                <w:kern w:val="0"/>
                <w:sz w:val="24"/>
              </w:rPr>
              <w:t>*4</w:t>
            </w:r>
            <w:r>
              <w:rPr>
                <w:rFonts w:hint="eastAsia" w:ascii="Times New Roman" w:hAnsi="Times New Roman"/>
                <w:kern w:val="0"/>
                <w:sz w:val="24"/>
              </w:rPr>
              <w:t>，最多不超过</w:t>
            </w: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分，最少不低于</w:t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仿宋_GB2312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  <w:r>
              <w:rPr>
                <w:rFonts w:hint="eastAsia" w:ascii="Times New Roman" w:hAnsi="Times New Roman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4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人才工作（10分）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人才计划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拥有入选国家人才计划人员的企业，得10分；拥有入选省级人才计划人员的企业，得6分；有向国家人才计划推荐有效申报人选的企业，按照1分/名累积计算，最高不超过4分。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7" w:hRule="atLeast"/>
        </w:trPr>
        <w:tc>
          <w:tcPr>
            <w:tcW w:w="33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19</w:t>
            </w:r>
          </w:p>
        </w:tc>
        <w:tc>
          <w:tcPr>
            <w:tcW w:w="1273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行业导向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（10分）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“8+8+4”重点工业产业：8个传统产业，8个战略性新兴产业，4个未来产业；软件和信息技术服务业</w:t>
            </w:r>
          </w:p>
        </w:tc>
        <w:tc>
          <w:tcPr>
            <w:tcW w:w="708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行业属于未来产业“未来之星”企业，得10分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/>
                <w:sz w:val="24"/>
              </w:rPr>
              <w:t>（未来产业包括下一代移动通信（6G）、前沿新材料、具身智能、未来生命健康等未来产业）</w:t>
            </w:r>
          </w:p>
          <w:p>
            <w:pPr>
              <w:widowControl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行业属于战略性新兴产业、</w:t>
            </w:r>
            <w:r>
              <w:rPr>
                <w:rFonts w:hint="eastAsia" w:ascii="Times New Roman" w:hAnsi="Times New Roman"/>
                <w:color w:val="000000"/>
                <w:sz w:val="24"/>
                <w:lang w:bidi="ar"/>
              </w:rPr>
              <w:t>软件和信息技术服务产业</w:t>
            </w:r>
            <w:r>
              <w:rPr>
                <w:rFonts w:hint="eastAsia" w:ascii="Times New Roman" w:hAnsi="Times New Roman"/>
                <w:sz w:val="24"/>
              </w:rPr>
              <w:t>，得5分。（战略性新兴产业包括</w:t>
            </w:r>
            <w:r>
              <w:rPr>
                <w:rFonts w:hint="eastAsia" w:ascii="Times New Roman" w:hAnsi="Times New Roman"/>
                <w:kern w:val="0"/>
                <w:sz w:val="24"/>
              </w:rPr>
              <w:t>新一代电子信息、高端装备制造、半导体及集成电路、新材料、新能源、生物医药及高端医疗器械、人工智能、</w:t>
            </w:r>
            <w:r>
              <w:rPr>
                <w:rFonts w:hint="eastAsia" w:ascii="Times New Roman" w:hAnsi="Times New Roman"/>
                <w:sz w:val="24"/>
              </w:rPr>
              <w:t>低空经济</w:t>
            </w:r>
            <w:r>
              <w:rPr>
                <w:rFonts w:hint="eastAsia" w:ascii="Times New Roman" w:hAnsi="Times New Roman"/>
                <w:kern w:val="0"/>
                <w:sz w:val="24"/>
              </w:rPr>
              <w:t>等新兴产业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</w:rPr>
              <w:t>行业属于以下传统特色产业，得2分。（传统特色产业包括纺织服装鞋帽制造业、食品饮料加工制造业、造纸及纸制品业、玩具及文体用品制造业、家具制造业、化工制造业、包装印刷业、模具制造业）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2389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指标评分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  <w:r>
              <w:rPr>
                <w:rFonts w:hint="eastAsia" w:ascii="Times New Roman" w:hAnsi="Times New Roman"/>
                <w:sz w:val="24"/>
              </w:rPr>
              <w:t>分</w:t>
            </w: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注：标</w:t>
      </w:r>
      <w:r>
        <w:rPr>
          <w:rFonts w:hint="eastAsia" w:ascii="Times New Roman" w:hAnsi="Times New Roman"/>
          <w:sz w:val="24"/>
        </w:rPr>
        <w:t>※</w:t>
      </w:r>
      <w:r>
        <w:rPr>
          <w:rFonts w:hint="eastAsia" w:ascii="Times New Roman" w:hAnsi="Times New Roman"/>
        </w:rPr>
        <w:t>的是针对软件和信息技术服务业的指标标准。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“8+8+4”产业界定的主要依据为《关于加快推进新型工业化 高质量建设国际科创制造强市的实施意见》（东府〔2024〕1号）、《关于壮大战略性新兴产业集群和培育未来产业 加快发展新质生产力的实施方案》（东府办〔2024〕18号）、</w:t>
      </w:r>
      <w:r>
        <w:rPr>
          <w:rFonts w:hint="eastAsia" w:ascii="Times New Roman" w:hAnsi="Times New Roman" w:cs="Times New Roman"/>
        </w:rPr>
        <w:t>《</w:t>
      </w:r>
      <w:r>
        <w:rPr>
          <w:rFonts w:ascii="Times New Roman" w:hAnsi="Times New Roman" w:cs="Times New Roman"/>
        </w:rPr>
        <w:t>关于确定我市工业支柱产业及特色产业的通知</w:t>
      </w:r>
      <w:r>
        <w:rPr>
          <w:rFonts w:hint="eastAsia" w:ascii="Times New Roman" w:hAnsi="Times New Roman" w:cs="Times New Roman"/>
        </w:rPr>
        <w:t>》</w:t>
      </w:r>
      <w:r>
        <w:rPr>
          <w:rFonts w:ascii="Times New Roman" w:hAnsi="Times New Roman" w:cs="Times New Roman"/>
        </w:rPr>
        <w:t>（东府办函〔2011〕480号）</w:t>
      </w:r>
      <w:r>
        <w:rPr>
          <w:rFonts w:hint="eastAsia" w:ascii="Times New Roman" w:hAnsi="Times New Roman" w:cs="Times New Roman"/>
        </w:rPr>
        <w:t>等文件有关规定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sectPr>
      <w:footerReference r:id="rId8" w:type="first"/>
      <w:footerReference r:id="rId7" w:type="default"/>
      <w:pgSz w:w="16838" w:h="11906" w:orient="landscape"/>
      <w:pgMar w:top="1531" w:right="1701" w:bottom="153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Fonts w:ascii="Times New Roman" w:hAnsi="Times New Roman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rFonts w:ascii="Times New Roman" w:hAnsi="Times New Roman"/>
        <w:sz w:val="32"/>
        <w:szCs w:val="3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5ED00"/>
    <w:multiLevelType w:val="singleLevel"/>
    <w:tmpl w:val="89E5ED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CF27507"/>
    <w:multiLevelType w:val="singleLevel"/>
    <w:tmpl w:val="9CF275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57BC0772"/>
    <w:multiLevelType w:val="multilevel"/>
    <w:tmpl w:val="57BC0772"/>
    <w:lvl w:ilvl="0" w:tentative="0">
      <w:start w:val="1"/>
      <w:numFmt w:val="bullet"/>
      <w:lvlText w:val=""/>
      <w:lvlJc w:val="left"/>
      <w:pPr>
        <w:ind w:left="106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3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F36"/>
    <w:rsid w:val="00084975"/>
    <w:rsid w:val="002E2458"/>
    <w:rsid w:val="00582CA5"/>
    <w:rsid w:val="00584B58"/>
    <w:rsid w:val="00616B96"/>
    <w:rsid w:val="00661D8D"/>
    <w:rsid w:val="007164F1"/>
    <w:rsid w:val="008212B2"/>
    <w:rsid w:val="0082235A"/>
    <w:rsid w:val="008B23C1"/>
    <w:rsid w:val="00975FBD"/>
    <w:rsid w:val="00A96C42"/>
    <w:rsid w:val="00AB44D9"/>
    <w:rsid w:val="00CA305D"/>
    <w:rsid w:val="00DC75B2"/>
    <w:rsid w:val="00E256FF"/>
    <w:rsid w:val="01B50DA6"/>
    <w:rsid w:val="0263496C"/>
    <w:rsid w:val="026F1887"/>
    <w:rsid w:val="02785A1F"/>
    <w:rsid w:val="02AF158C"/>
    <w:rsid w:val="02DF4D10"/>
    <w:rsid w:val="03372530"/>
    <w:rsid w:val="03642333"/>
    <w:rsid w:val="040B4C27"/>
    <w:rsid w:val="04241853"/>
    <w:rsid w:val="045D41EF"/>
    <w:rsid w:val="04CE44FC"/>
    <w:rsid w:val="04E273ED"/>
    <w:rsid w:val="04E7487D"/>
    <w:rsid w:val="04FB638A"/>
    <w:rsid w:val="05587F24"/>
    <w:rsid w:val="055F0D82"/>
    <w:rsid w:val="0606688E"/>
    <w:rsid w:val="064F34A9"/>
    <w:rsid w:val="06F50798"/>
    <w:rsid w:val="074D15C2"/>
    <w:rsid w:val="07B63E8F"/>
    <w:rsid w:val="07F2699C"/>
    <w:rsid w:val="07FD57B5"/>
    <w:rsid w:val="080008DF"/>
    <w:rsid w:val="08217FBB"/>
    <w:rsid w:val="082F01F8"/>
    <w:rsid w:val="08685778"/>
    <w:rsid w:val="088D4D05"/>
    <w:rsid w:val="08D453B9"/>
    <w:rsid w:val="09243791"/>
    <w:rsid w:val="095510BD"/>
    <w:rsid w:val="095F1C72"/>
    <w:rsid w:val="09CD005D"/>
    <w:rsid w:val="0A1724E0"/>
    <w:rsid w:val="0A631C34"/>
    <w:rsid w:val="0A7B1170"/>
    <w:rsid w:val="0AC478E4"/>
    <w:rsid w:val="0B555A2F"/>
    <w:rsid w:val="0B646A10"/>
    <w:rsid w:val="0B77584B"/>
    <w:rsid w:val="0B8449D4"/>
    <w:rsid w:val="0BE027B9"/>
    <w:rsid w:val="0BF4320C"/>
    <w:rsid w:val="0C063913"/>
    <w:rsid w:val="0C1B29F6"/>
    <w:rsid w:val="0C464DB2"/>
    <w:rsid w:val="0C701119"/>
    <w:rsid w:val="0CE43496"/>
    <w:rsid w:val="0DDF2C5B"/>
    <w:rsid w:val="0E14371F"/>
    <w:rsid w:val="0E5B3B83"/>
    <w:rsid w:val="0EDD5A97"/>
    <w:rsid w:val="0F495959"/>
    <w:rsid w:val="0FAD27AE"/>
    <w:rsid w:val="107C7CFC"/>
    <w:rsid w:val="11850336"/>
    <w:rsid w:val="11944618"/>
    <w:rsid w:val="12044B2D"/>
    <w:rsid w:val="12054921"/>
    <w:rsid w:val="12781A72"/>
    <w:rsid w:val="12BA0A94"/>
    <w:rsid w:val="12C51431"/>
    <w:rsid w:val="130A7B84"/>
    <w:rsid w:val="13133649"/>
    <w:rsid w:val="13956C84"/>
    <w:rsid w:val="13D52E3D"/>
    <w:rsid w:val="13FC051E"/>
    <w:rsid w:val="14604BB2"/>
    <w:rsid w:val="148406BF"/>
    <w:rsid w:val="14AE0945"/>
    <w:rsid w:val="14C04D9F"/>
    <w:rsid w:val="150E6309"/>
    <w:rsid w:val="151653E3"/>
    <w:rsid w:val="1587223B"/>
    <w:rsid w:val="158F0A3E"/>
    <w:rsid w:val="15E1653A"/>
    <w:rsid w:val="161544FC"/>
    <w:rsid w:val="16252E9A"/>
    <w:rsid w:val="163276D0"/>
    <w:rsid w:val="17401C6A"/>
    <w:rsid w:val="176F50AD"/>
    <w:rsid w:val="1861478C"/>
    <w:rsid w:val="188D014F"/>
    <w:rsid w:val="18C056F8"/>
    <w:rsid w:val="18DA2191"/>
    <w:rsid w:val="18DE638E"/>
    <w:rsid w:val="190E71D0"/>
    <w:rsid w:val="1921073F"/>
    <w:rsid w:val="194735EF"/>
    <w:rsid w:val="19633230"/>
    <w:rsid w:val="19687D83"/>
    <w:rsid w:val="196F4D3F"/>
    <w:rsid w:val="19AF56E0"/>
    <w:rsid w:val="19BD1EE0"/>
    <w:rsid w:val="19BF2A30"/>
    <w:rsid w:val="19CC7878"/>
    <w:rsid w:val="19DA0677"/>
    <w:rsid w:val="19FA48EF"/>
    <w:rsid w:val="1A4F7FD3"/>
    <w:rsid w:val="1A6A7BCF"/>
    <w:rsid w:val="1B2D4E8A"/>
    <w:rsid w:val="1B811D50"/>
    <w:rsid w:val="1BAE538B"/>
    <w:rsid w:val="1BD00F48"/>
    <w:rsid w:val="1BD639F5"/>
    <w:rsid w:val="1C2378CC"/>
    <w:rsid w:val="1C3D6CCB"/>
    <w:rsid w:val="1CA70DAA"/>
    <w:rsid w:val="1CB407DD"/>
    <w:rsid w:val="1CD66D66"/>
    <w:rsid w:val="1D0875F0"/>
    <w:rsid w:val="1D0C0C32"/>
    <w:rsid w:val="1D2A276C"/>
    <w:rsid w:val="1D6068F8"/>
    <w:rsid w:val="1D6E7710"/>
    <w:rsid w:val="1DF8558F"/>
    <w:rsid w:val="1E11092E"/>
    <w:rsid w:val="1E320888"/>
    <w:rsid w:val="20CA1B34"/>
    <w:rsid w:val="20E662EC"/>
    <w:rsid w:val="22E0140F"/>
    <w:rsid w:val="23566D20"/>
    <w:rsid w:val="23E9395C"/>
    <w:rsid w:val="24254492"/>
    <w:rsid w:val="24286990"/>
    <w:rsid w:val="24470323"/>
    <w:rsid w:val="24865CEB"/>
    <w:rsid w:val="248F5876"/>
    <w:rsid w:val="24952744"/>
    <w:rsid w:val="24F20725"/>
    <w:rsid w:val="24F812B1"/>
    <w:rsid w:val="255778FD"/>
    <w:rsid w:val="25652709"/>
    <w:rsid w:val="25CE4D54"/>
    <w:rsid w:val="25E16644"/>
    <w:rsid w:val="265F513C"/>
    <w:rsid w:val="267C7321"/>
    <w:rsid w:val="26C52BA5"/>
    <w:rsid w:val="26D706BD"/>
    <w:rsid w:val="271C423A"/>
    <w:rsid w:val="27341C0F"/>
    <w:rsid w:val="276FA767"/>
    <w:rsid w:val="27780121"/>
    <w:rsid w:val="277FADB3"/>
    <w:rsid w:val="27BBBC33"/>
    <w:rsid w:val="2852574B"/>
    <w:rsid w:val="289C6989"/>
    <w:rsid w:val="293B4505"/>
    <w:rsid w:val="296C6141"/>
    <w:rsid w:val="29C700E1"/>
    <w:rsid w:val="29DD2E74"/>
    <w:rsid w:val="29E73564"/>
    <w:rsid w:val="2A0A53DA"/>
    <w:rsid w:val="2A6142F0"/>
    <w:rsid w:val="2AB20A10"/>
    <w:rsid w:val="2BAC5256"/>
    <w:rsid w:val="2BD15BAA"/>
    <w:rsid w:val="2CBA66A0"/>
    <w:rsid w:val="2CF01AB5"/>
    <w:rsid w:val="2D2F3948"/>
    <w:rsid w:val="2D5069DE"/>
    <w:rsid w:val="2D6D406B"/>
    <w:rsid w:val="2E66684C"/>
    <w:rsid w:val="2F150106"/>
    <w:rsid w:val="2F5004E7"/>
    <w:rsid w:val="2F552161"/>
    <w:rsid w:val="2F6579E5"/>
    <w:rsid w:val="2F7EA6E4"/>
    <w:rsid w:val="2FBE406D"/>
    <w:rsid w:val="2FBFEC08"/>
    <w:rsid w:val="2FCB5FBE"/>
    <w:rsid w:val="2FDF271F"/>
    <w:rsid w:val="2FEE2083"/>
    <w:rsid w:val="30094B26"/>
    <w:rsid w:val="30406EAF"/>
    <w:rsid w:val="309A4F79"/>
    <w:rsid w:val="30C57E2D"/>
    <w:rsid w:val="313035A9"/>
    <w:rsid w:val="3149683E"/>
    <w:rsid w:val="318256D8"/>
    <w:rsid w:val="31B76739"/>
    <w:rsid w:val="31DA3864"/>
    <w:rsid w:val="32566C5D"/>
    <w:rsid w:val="329444A4"/>
    <w:rsid w:val="333B12AA"/>
    <w:rsid w:val="333C2BEE"/>
    <w:rsid w:val="335227DD"/>
    <w:rsid w:val="3441203C"/>
    <w:rsid w:val="349766A6"/>
    <w:rsid w:val="34DF7702"/>
    <w:rsid w:val="35B23F1C"/>
    <w:rsid w:val="35CC5C02"/>
    <w:rsid w:val="36101163"/>
    <w:rsid w:val="366F039A"/>
    <w:rsid w:val="36801CF1"/>
    <w:rsid w:val="36D61AD4"/>
    <w:rsid w:val="36EF75F1"/>
    <w:rsid w:val="374229E6"/>
    <w:rsid w:val="37437E4C"/>
    <w:rsid w:val="3773179A"/>
    <w:rsid w:val="37F9AA7A"/>
    <w:rsid w:val="38700AAA"/>
    <w:rsid w:val="38972C0B"/>
    <w:rsid w:val="38BD083A"/>
    <w:rsid w:val="390D305A"/>
    <w:rsid w:val="39845A94"/>
    <w:rsid w:val="398C1B37"/>
    <w:rsid w:val="39BE759F"/>
    <w:rsid w:val="3A4822F8"/>
    <w:rsid w:val="3A5F670C"/>
    <w:rsid w:val="3A8671B3"/>
    <w:rsid w:val="3AFE4F7B"/>
    <w:rsid w:val="3B0C42AD"/>
    <w:rsid w:val="3B60643D"/>
    <w:rsid w:val="3B7556CF"/>
    <w:rsid w:val="3BAB5AC6"/>
    <w:rsid w:val="3BE42275"/>
    <w:rsid w:val="3C154F5A"/>
    <w:rsid w:val="3C4979CE"/>
    <w:rsid w:val="3D2A58A9"/>
    <w:rsid w:val="3D70FF2B"/>
    <w:rsid w:val="3D7D7059"/>
    <w:rsid w:val="3DAF39FF"/>
    <w:rsid w:val="3DCD41FC"/>
    <w:rsid w:val="3DD73BD9"/>
    <w:rsid w:val="3DE8361C"/>
    <w:rsid w:val="3E0E5D0D"/>
    <w:rsid w:val="3E201D12"/>
    <w:rsid w:val="3E3C05C8"/>
    <w:rsid w:val="3E4E5248"/>
    <w:rsid w:val="3E5E5893"/>
    <w:rsid w:val="3E6D6188"/>
    <w:rsid w:val="3E881465"/>
    <w:rsid w:val="3EC43A49"/>
    <w:rsid w:val="3ED63D4D"/>
    <w:rsid w:val="3EE34F36"/>
    <w:rsid w:val="3F2878A5"/>
    <w:rsid w:val="3F7B7E32"/>
    <w:rsid w:val="3FAD4A46"/>
    <w:rsid w:val="3FCC0F08"/>
    <w:rsid w:val="3FDB3353"/>
    <w:rsid w:val="40B837B7"/>
    <w:rsid w:val="41194189"/>
    <w:rsid w:val="416C723D"/>
    <w:rsid w:val="41882C99"/>
    <w:rsid w:val="41BA17FA"/>
    <w:rsid w:val="41C571CB"/>
    <w:rsid w:val="42232BB7"/>
    <w:rsid w:val="425D5258"/>
    <w:rsid w:val="42657069"/>
    <w:rsid w:val="429B4D44"/>
    <w:rsid w:val="43132602"/>
    <w:rsid w:val="43145085"/>
    <w:rsid w:val="434059B2"/>
    <w:rsid w:val="43A0750E"/>
    <w:rsid w:val="4412119F"/>
    <w:rsid w:val="445917D1"/>
    <w:rsid w:val="44D64137"/>
    <w:rsid w:val="4507733D"/>
    <w:rsid w:val="45877356"/>
    <w:rsid w:val="45AD0337"/>
    <w:rsid w:val="45CC5E51"/>
    <w:rsid w:val="45DF53D4"/>
    <w:rsid w:val="460A6975"/>
    <w:rsid w:val="463D68D6"/>
    <w:rsid w:val="463E56B2"/>
    <w:rsid w:val="4708033B"/>
    <w:rsid w:val="47816B6A"/>
    <w:rsid w:val="484D289D"/>
    <w:rsid w:val="48795A75"/>
    <w:rsid w:val="487C65EB"/>
    <w:rsid w:val="4913725D"/>
    <w:rsid w:val="49256B7A"/>
    <w:rsid w:val="493E009D"/>
    <w:rsid w:val="499603FF"/>
    <w:rsid w:val="49FA2C9D"/>
    <w:rsid w:val="4A435CBA"/>
    <w:rsid w:val="4A4800EF"/>
    <w:rsid w:val="4A5C1C64"/>
    <w:rsid w:val="4AFC424B"/>
    <w:rsid w:val="4B1045F8"/>
    <w:rsid w:val="4B1F55D9"/>
    <w:rsid w:val="4B62168C"/>
    <w:rsid w:val="4B8876A0"/>
    <w:rsid w:val="4B9070C6"/>
    <w:rsid w:val="4C2446CB"/>
    <w:rsid w:val="4C416B8B"/>
    <w:rsid w:val="4C5946DD"/>
    <w:rsid w:val="4C8B0E4C"/>
    <w:rsid w:val="4C8C11A5"/>
    <w:rsid w:val="4CD5075D"/>
    <w:rsid w:val="4CDE5CEB"/>
    <w:rsid w:val="4CFBBC34"/>
    <w:rsid w:val="4DD10615"/>
    <w:rsid w:val="4DE82C8E"/>
    <w:rsid w:val="4E5904B8"/>
    <w:rsid w:val="4E944706"/>
    <w:rsid w:val="4EF45F19"/>
    <w:rsid w:val="4F143AE0"/>
    <w:rsid w:val="4F2B7453"/>
    <w:rsid w:val="4F6D44F2"/>
    <w:rsid w:val="4F707A31"/>
    <w:rsid w:val="4F7A0CA2"/>
    <w:rsid w:val="4FCB136B"/>
    <w:rsid w:val="4FDA116A"/>
    <w:rsid w:val="4FE53692"/>
    <w:rsid w:val="50191F6D"/>
    <w:rsid w:val="50AD3989"/>
    <w:rsid w:val="50AF294A"/>
    <w:rsid w:val="50F41534"/>
    <w:rsid w:val="510E7B17"/>
    <w:rsid w:val="517851D6"/>
    <w:rsid w:val="52EC7AE0"/>
    <w:rsid w:val="532C3462"/>
    <w:rsid w:val="532E0FF0"/>
    <w:rsid w:val="53C003B3"/>
    <w:rsid w:val="53CA7EA1"/>
    <w:rsid w:val="541420AF"/>
    <w:rsid w:val="5419551C"/>
    <w:rsid w:val="541A08D4"/>
    <w:rsid w:val="546079C2"/>
    <w:rsid w:val="547D1B9D"/>
    <w:rsid w:val="54AB7238"/>
    <w:rsid w:val="550B3BCB"/>
    <w:rsid w:val="55127219"/>
    <w:rsid w:val="554D3832"/>
    <w:rsid w:val="555D239A"/>
    <w:rsid w:val="55C25F96"/>
    <w:rsid w:val="55E65706"/>
    <w:rsid w:val="55FE7631"/>
    <w:rsid w:val="568C63F7"/>
    <w:rsid w:val="57000D84"/>
    <w:rsid w:val="57312BFF"/>
    <w:rsid w:val="575C52B6"/>
    <w:rsid w:val="5763333A"/>
    <w:rsid w:val="577E1635"/>
    <w:rsid w:val="578A181F"/>
    <w:rsid w:val="587725B8"/>
    <w:rsid w:val="58880BAC"/>
    <w:rsid w:val="589D2C58"/>
    <w:rsid w:val="58BB30A9"/>
    <w:rsid w:val="58EA2659"/>
    <w:rsid w:val="5934041B"/>
    <w:rsid w:val="59E3467A"/>
    <w:rsid w:val="59EF7969"/>
    <w:rsid w:val="5A103662"/>
    <w:rsid w:val="5AB16491"/>
    <w:rsid w:val="5AFF56DF"/>
    <w:rsid w:val="5B5077D8"/>
    <w:rsid w:val="5BA13A6F"/>
    <w:rsid w:val="5BBC08A9"/>
    <w:rsid w:val="5BF262A1"/>
    <w:rsid w:val="5C3417A1"/>
    <w:rsid w:val="5C51396B"/>
    <w:rsid w:val="5C6A6DA4"/>
    <w:rsid w:val="5C7F29BB"/>
    <w:rsid w:val="5DD22153"/>
    <w:rsid w:val="5DDF7B07"/>
    <w:rsid w:val="5DE216EA"/>
    <w:rsid w:val="5DFC6D2B"/>
    <w:rsid w:val="5E116027"/>
    <w:rsid w:val="5E530182"/>
    <w:rsid w:val="5E644129"/>
    <w:rsid w:val="5E73182C"/>
    <w:rsid w:val="5EAE28F6"/>
    <w:rsid w:val="5F6942FF"/>
    <w:rsid w:val="5F726AF7"/>
    <w:rsid w:val="5F7B9F67"/>
    <w:rsid w:val="5FCA2B0E"/>
    <w:rsid w:val="5FD57671"/>
    <w:rsid w:val="5FFF5062"/>
    <w:rsid w:val="603F072B"/>
    <w:rsid w:val="606612BB"/>
    <w:rsid w:val="61876E93"/>
    <w:rsid w:val="62671BF5"/>
    <w:rsid w:val="62801BC0"/>
    <w:rsid w:val="633D485F"/>
    <w:rsid w:val="63467213"/>
    <w:rsid w:val="639E704A"/>
    <w:rsid w:val="63A20DDC"/>
    <w:rsid w:val="63CE4C46"/>
    <w:rsid w:val="63F223C6"/>
    <w:rsid w:val="64050275"/>
    <w:rsid w:val="641A3689"/>
    <w:rsid w:val="64221E2F"/>
    <w:rsid w:val="64913626"/>
    <w:rsid w:val="65A07742"/>
    <w:rsid w:val="65A52363"/>
    <w:rsid w:val="65AD3356"/>
    <w:rsid w:val="65F8514A"/>
    <w:rsid w:val="662A24E5"/>
    <w:rsid w:val="662A7F78"/>
    <w:rsid w:val="668E6500"/>
    <w:rsid w:val="66995E48"/>
    <w:rsid w:val="66A410A9"/>
    <w:rsid w:val="66B616F1"/>
    <w:rsid w:val="67011CDB"/>
    <w:rsid w:val="670C385F"/>
    <w:rsid w:val="671E3C8A"/>
    <w:rsid w:val="6721705E"/>
    <w:rsid w:val="6762458A"/>
    <w:rsid w:val="676A0B25"/>
    <w:rsid w:val="67937BC3"/>
    <w:rsid w:val="67C03086"/>
    <w:rsid w:val="68276117"/>
    <w:rsid w:val="682F3372"/>
    <w:rsid w:val="683D5BF7"/>
    <w:rsid w:val="683E0956"/>
    <w:rsid w:val="68E079E9"/>
    <w:rsid w:val="690D6C11"/>
    <w:rsid w:val="69B453F5"/>
    <w:rsid w:val="69B47252"/>
    <w:rsid w:val="69BC7086"/>
    <w:rsid w:val="6A7330FD"/>
    <w:rsid w:val="6ABB114B"/>
    <w:rsid w:val="6AF508E8"/>
    <w:rsid w:val="6B0442BF"/>
    <w:rsid w:val="6B323C8C"/>
    <w:rsid w:val="6B556B6B"/>
    <w:rsid w:val="6C1D1DF2"/>
    <w:rsid w:val="6C6C18B1"/>
    <w:rsid w:val="6C7C7795"/>
    <w:rsid w:val="6CF12AD2"/>
    <w:rsid w:val="6CFC22C3"/>
    <w:rsid w:val="6D190812"/>
    <w:rsid w:val="6D9616C9"/>
    <w:rsid w:val="6DAF1131"/>
    <w:rsid w:val="6DBD68D8"/>
    <w:rsid w:val="6DCF372A"/>
    <w:rsid w:val="6E881CD6"/>
    <w:rsid w:val="6E977E08"/>
    <w:rsid w:val="6ECD5B83"/>
    <w:rsid w:val="6EE951D3"/>
    <w:rsid w:val="6EF17019"/>
    <w:rsid w:val="6F065F93"/>
    <w:rsid w:val="6F5E1052"/>
    <w:rsid w:val="6F7A1BD8"/>
    <w:rsid w:val="6FB5F233"/>
    <w:rsid w:val="6FD62E70"/>
    <w:rsid w:val="6FD801DE"/>
    <w:rsid w:val="6FF7098A"/>
    <w:rsid w:val="71130ECB"/>
    <w:rsid w:val="717F3609"/>
    <w:rsid w:val="71AE1B3F"/>
    <w:rsid w:val="71D66393"/>
    <w:rsid w:val="71F04B05"/>
    <w:rsid w:val="732756CB"/>
    <w:rsid w:val="734D70C6"/>
    <w:rsid w:val="73513BBA"/>
    <w:rsid w:val="73576CE5"/>
    <w:rsid w:val="740523D9"/>
    <w:rsid w:val="740C1031"/>
    <w:rsid w:val="74276B39"/>
    <w:rsid w:val="743117B4"/>
    <w:rsid w:val="747617C3"/>
    <w:rsid w:val="749C1799"/>
    <w:rsid w:val="74C64BC6"/>
    <w:rsid w:val="74DE7EDD"/>
    <w:rsid w:val="74E06122"/>
    <w:rsid w:val="75064E3B"/>
    <w:rsid w:val="75948EE4"/>
    <w:rsid w:val="75B20114"/>
    <w:rsid w:val="75D75387"/>
    <w:rsid w:val="75F90EDA"/>
    <w:rsid w:val="76061F41"/>
    <w:rsid w:val="76CC2AAA"/>
    <w:rsid w:val="7759B332"/>
    <w:rsid w:val="775B007B"/>
    <w:rsid w:val="7783174E"/>
    <w:rsid w:val="778E1330"/>
    <w:rsid w:val="77A23485"/>
    <w:rsid w:val="77F92F3E"/>
    <w:rsid w:val="785653EE"/>
    <w:rsid w:val="787648B6"/>
    <w:rsid w:val="788A2A81"/>
    <w:rsid w:val="78EE2CD1"/>
    <w:rsid w:val="79282391"/>
    <w:rsid w:val="795E4C93"/>
    <w:rsid w:val="796308E8"/>
    <w:rsid w:val="79AF48FC"/>
    <w:rsid w:val="7A0555F9"/>
    <w:rsid w:val="7A340DE1"/>
    <w:rsid w:val="7A342BF0"/>
    <w:rsid w:val="7AEFD1AA"/>
    <w:rsid w:val="7B1B3998"/>
    <w:rsid w:val="7BD106A2"/>
    <w:rsid w:val="7C09052A"/>
    <w:rsid w:val="7D024D78"/>
    <w:rsid w:val="7D133B32"/>
    <w:rsid w:val="7DB016A0"/>
    <w:rsid w:val="7DC86BDD"/>
    <w:rsid w:val="7DCE14D2"/>
    <w:rsid w:val="7DEE4F8C"/>
    <w:rsid w:val="7E8D664E"/>
    <w:rsid w:val="7E9255FE"/>
    <w:rsid w:val="7EBC45D4"/>
    <w:rsid w:val="7ED90851"/>
    <w:rsid w:val="7EFE7D54"/>
    <w:rsid w:val="7F3711A6"/>
    <w:rsid w:val="7F464138"/>
    <w:rsid w:val="7F5B73B0"/>
    <w:rsid w:val="7F9F13D1"/>
    <w:rsid w:val="7FCFAC3D"/>
    <w:rsid w:val="7FF620EB"/>
    <w:rsid w:val="8DEF2AD3"/>
    <w:rsid w:val="9DEB321C"/>
    <w:rsid w:val="B376D3FD"/>
    <w:rsid w:val="B3F18F70"/>
    <w:rsid w:val="BBF72D6F"/>
    <w:rsid w:val="BDFC6FA0"/>
    <w:rsid w:val="BEBDCD40"/>
    <w:rsid w:val="BFEE64F0"/>
    <w:rsid w:val="D77FEAC9"/>
    <w:rsid w:val="DE75DC1C"/>
    <w:rsid w:val="DF4F0EBF"/>
    <w:rsid w:val="DF75EA55"/>
    <w:rsid w:val="EB6E63DE"/>
    <w:rsid w:val="EEFB3DC6"/>
    <w:rsid w:val="F1BFC9A3"/>
    <w:rsid w:val="F7FF32CB"/>
    <w:rsid w:val="F95FDFE9"/>
    <w:rsid w:val="F99FBD9E"/>
    <w:rsid w:val="FACD8275"/>
    <w:rsid w:val="FBE79DDF"/>
    <w:rsid w:val="FDDF9402"/>
    <w:rsid w:val="FDEF28C9"/>
    <w:rsid w:val="FDF80230"/>
    <w:rsid w:val="FFEF6B93"/>
    <w:rsid w:val="FFFFD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3"/>
    <w:unhideWhenUsed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link w:val="24"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footnote reference"/>
    <w:unhideWhenUsed/>
    <w:qFormat/>
    <w:uiPriority w:val="99"/>
    <w:rPr>
      <w:vertAlign w:val="superscript"/>
    </w:rPr>
  </w:style>
  <w:style w:type="character" w:customStyle="1" w:styleId="19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批注框文本 字符"/>
    <w:link w:val="6"/>
    <w:qFormat/>
    <w:uiPriority w:val="0"/>
    <w:rPr>
      <w:sz w:val="18"/>
      <w:szCs w:val="18"/>
    </w:rPr>
  </w:style>
  <w:style w:type="character" w:customStyle="1" w:styleId="21">
    <w:name w:val="页脚 字符"/>
    <w:link w:val="7"/>
    <w:qFormat/>
    <w:uiPriority w:val="0"/>
    <w:rPr>
      <w:sz w:val="18"/>
      <w:szCs w:val="18"/>
    </w:rPr>
  </w:style>
  <w:style w:type="character" w:customStyle="1" w:styleId="22">
    <w:name w:val="页眉 字符"/>
    <w:link w:val="8"/>
    <w:qFormat/>
    <w:uiPriority w:val="0"/>
    <w:rPr>
      <w:sz w:val="18"/>
      <w:szCs w:val="18"/>
    </w:rPr>
  </w:style>
  <w:style w:type="character" w:customStyle="1" w:styleId="23">
    <w:name w:val="脚注文本 字符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4">
    <w:name w:val="批注主题 字符"/>
    <w:link w:val="11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5">
    <w:name w:val="批注框文本 Char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6">
    <w:name w:val="页眉 Char1"/>
    <w:qFormat/>
    <w:uiPriority w:val="0"/>
    <w:rPr>
      <w:kern w:val="2"/>
      <w:sz w:val="18"/>
      <w:szCs w:val="18"/>
    </w:rPr>
  </w:style>
  <w:style w:type="character" w:customStyle="1" w:styleId="27">
    <w:name w:val="页脚 Char1"/>
    <w:qFormat/>
    <w:uiPriority w:val="0"/>
    <w:rPr>
      <w:kern w:val="2"/>
      <w:sz w:val="18"/>
      <w:szCs w:val="18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2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0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31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32">
    <w:name w:val="font2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11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34">
    <w:name w:val="font5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35">
    <w:name w:val="font6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">
    <w:name w:val="ziti"/>
    <w:qFormat/>
    <w:uiPriority w:val="0"/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8">
    <w:name w:val="_Style 36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9">
    <w:name w:val="No Spacing"/>
    <w:qFormat/>
    <w:uiPriority w:val="1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25</Pages>
  <Words>1214</Words>
  <Characters>6922</Characters>
  <Lines>57</Lines>
  <Paragraphs>16</Paragraphs>
  <TotalTime>0</TotalTime>
  <ScaleCrop>false</ScaleCrop>
  <LinksUpToDate>false</LinksUpToDate>
  <CharactersWithSpaces>8120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2023-03-02T02:48:00Z</dcterms:created>
  <dc:creator>admin</dc:creator>
  <cp:lastModifiedBy>叶星雄</cp:lastModifiedBy>
  <cp:lastPrinted>2025-05-28T18:02:00Z</cp:lastPrinted>
  <dcterms:modified xsi:type="dcterms:W3CDTF">2025-05-30T09:11:04Z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66649D4DA8CEB8BB56660068C862CFE6_43</vt:lpwstr>
  </property>
</Properties>
</file>