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238"/>
        <w:jc w:val="center"/>
        <w:rPr>
          <w:rFonts w:ascii="Times New Roman" w:hAnsi="Times New Roman" w:eastAsia="方正小标宋简体"/>
          <w:color w:val="auto"/>
          <w:kern w:val="0"/>
          <w:sz w:val="44"/>
          <w:szCs w:val="44"/>
        </w:rPr>
      </w:pPr>
      <w:bookmarkStart w:id="1" w:name="_GoBack"/>
      <w:bookmarkEnd w:id="1"/>
      <w:r>
        <w:rPr>
          <w:rFonts w:ascii="Times New Roman" w:hAnsi="Times New Roman" w:eastAsia="方正小标宋简体"/>
          <w:color w:val="auto"/>
          <w:kern w:val="0"/>
          <w:sz w:val="44"/>
          <w:szCs w:val="44"/>
        </w:rPr>
        <w:t>东莞市“倍增计划”骨干人员</w:t>
      </w:r>
      <w:r>
        <w:rPr>
          <w:rFonts w:hint="eastAsia" w:ascii="Times New Roman" w:hAnsi="Times New Roman" w:eastAsia="方正小标宋简体"/>
          <w:color w:val="auto"/>
          <w:kern w:val="0"/>
          <w:sz w:val="44"/>
          <w:szCs w:val="44"/>
        </w:rPr>
        <w:t>子女入读民办中小学校</w:t>
      </w:r>
      <w:r>
        <w:rPr>
          <w:rFonts w:ascii="Times New Roman" w:hAnsi="Times New Roman" w:eastAsia="方正小标宋简体"/>
          <w:color w:val="auto"/>
          <w:kern w:val="0"/>
          <w:sz w:val="44"/>
          <w:szCs w:val="44"/>
        </w:rPr>
        <w:t>资助项目</w:t>
      </w:r>
      <w:r>
        <w:rPr>
          <w:rFonts w:hint="eastAsia" w:ascii="Times New Roman" w:hAnsi="Times New Roman" w:eastAsia="方正小标宋简体"/>
          <w:color w:val="auto"/>
          <w:kern w:val="0"/>
          <w:sz w:val="44"/>
          <w:szCs w:val="44"/>
        </w:rPr>
        <w:t>实施细则</w:t>
      </w:r>
    </w:p>
    <w:p>
      <w:pPr>
        <w:spacing w:line="600" w:lineRule="exact"/>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hint="eastAsia" w:ascii="楷体_GB2312" w:hAnsi="楷体_GB2312" w:eastAsia="楷体_GB2312" w:cs="楷体_GB2312"/>
          <w:color w:val="auto"/>
          <w:sz w:val="32"/>
          <w:szCs w:val="32"/>
        </w:rPr>
        <w:t>）</w:t>
      </w:r>
    </w:p>
    <w:p>
      <w:pPr>
        <w:widowControl/>
        <w:spacing w:line="600" w:lineRule="exact"/>
        <w:ind w:right="238"/>
        <w:jc w:val="center"/>
        <w:rPr>
          <w:rFonts w:ascii="Times New Roman" w:hAnsi="Times New Roman" w:eastAsia="方正小标宋简体"/>
          <w:color w:val="auto"/>
          <w:kern w:val="0"/>
          <w:sz w:val="44"/>
          <w:szCs w:val="44"/>
        </w:rPr>
      </w:pPr>
    </w:p>
    <w:p>
      <w:pPr>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黑体"/>
          <w:color w:val="auto"/>
          <w:sz w:val="32"/>
          <w:szCs w:val="32"/>
        </w:rPr>
        <w:t xml:space="preserve">第一条  </w:t>
      </w:r>
      <w:r>
        <w:rPr>
          <w:rFonts w:ascii="Times New Roman" w:hAnsi="Times New Roman" w:eastAsia="仿宋_GB2312"/>
          <w:color w:val="auto"/>
          <w:kern w:val="0"/>
          <w:sz w:val="32"/>
          <w:szCs w:val="32"/>
        </w:rPr>
        <w:t>本实施细则</w:t>
      </w:r>
      <w:r>
        <w:rPr>
          <w:rFonts w:hint="eastAsia" w:ascii="仿宋_GB2312" w:hAnsi="仿宋_GB2312" w:eastAsia="仿宋_GB2312" w:cs="仿宋_GB2312"/>
          <w:color w:val="auto"/>
          <w:kern w:val="2"/>
          <w:sz w:val="32"/>
          <w:szCs w:val="32"/>
          <w:lang w:val="en-US" w:eastAsia="zh-CN" w:bidi="ar-SA"/>
        </w:rPr>
        <w:t>根据《关于加快推进新型工业化高质量建设国际科创制造强市的实施意见》（</w:t>
      </w:r>
      <w:r>
        <w:rPr>
          <w:rFonts w:hint="eastAsia" w:ascii="FangSong_GB2312" w:hAnsi="FangSong_GB2312" w:eastAsia="FangSong_GB2312"/>
          <w:sz w:val="32"/>
          <w:szCs w:val="24"/>
        </w:rPr>
        <w:t>东府〔</w:t>
      </w:r>
      <w:r>
        <w:rPr>
          <w:rFonts w:hint="eastAsia" w:ascii="TimesNewRomanPSMT" w:hAnsi="TimesNewRomanPSMT" w:eastAsia="TimesNewRomanPSMT"/>
          <w:sz w:val="32"/>
          <w:szCs w:val="24"/>
        </w:rPr>
        <w:t>2024</w:t>
      </w:r>
      <w:r>
        <w:rPr>
          <w:rFonts w:hint="eastAsia" w:ascii="FangSong_GB2312" w:hAnsi="FangSong_GB2312" w:eastAsia="FangSong_GB2312"/>
          <w:sz w:val="32"/>
          <w:szCs w:val="24"/>
        </w:rPr>
        <w:t>〕</w:t>
      </w:r>
      <w:r>
        <w:rPr>
          <w:rFonts w:hint="eastAsia" w:ascii="TimesNewRomanPSMT" w:hAnsi="TimesNewRomanPSMT" w:eastAsia="TimesNewRomanPSMT"/>
          <w:sz w:val="32"/>
          <w:szCs w:val="24"/>
        </w:rPr>
        <w:t xml:space="preserve">1 </w:t>
      </w:r>
      <w:r>
        <w:rPr>
          <w:rFonts w:hint="eastAsia" w:ascii="FangSong_GB2312" w:hAnsi="FangSong_GB2312" w:eastAsia="FangSong_GB2312"/>
          <w:sz w:val="32"/>
          <w:szCs w:val="24"/>
        </w:rPr>
        <w:t>号</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文件</w:t>
      </w:r>
      <w:r>
        <w:rPr>
          <w:rFonts w:hint="eastAsia" w:ascii="Times New Roman" w:hAnsi="Times New Roman" w:eastAsia="仿宋_GB2312"/>
          <w:color w:val="auto"/>
          <w:sz w:val="32"/>
          <w:szCs w:val="32"/>
        </w:rPr>
        <w:t>制定。该细则</w:t>
      </w:r>
      <w:r>
        <w:rPr>
          <w:rFonts w:ascii="Times New Roman" w:hAnsi="Times New Roman" w:eastAsia="仿宋_GB2312"/>
          <w:color w:val="auto"/>
          <w:kern w:val="0"/>
          <w:sz w:val="32"/>
          <w:szCs w:val="32"/>
        </w:rPr>
        <w:t>所称的骨干人员子女入学资助项目，是指</w:t>
      </w:r>
      <w:r>
        <w:rPr>
          <w:rFonts w:hint="eastAsia" w:ascii="Times New Roman" w:hAnsi="Times New Roman" w:eastAsia="仿宋_GB2312"/>
          <w:color w:val="auto"/>
          <w:kern w:val="0"/>
          <w:sz w:val="32"/>
          <w:szCs w:val="32"/>
          <w:lang w:eastAsia="zh-CN"/>
        </w:rPr>
        <w:t>给</w:t>
      </w:r>
      <w:r>
        <w:rPr>
          <w:rFonts w:ascii="Times New Roman" w:hAnsi="Times New Roman" w:eastAsia="仿宋_GB2312"/>
          <w:color w:val="auto"/>
          <w:kern w:val="0"/>
          <w:sz w:val="32"/>
          <w:szCs w:val="32"/>
        </w:rPr>
        <w:t>倍增企业配置相应</w:t>
      </w:r>
      <w:r>
        <w:rPr>
          <w:rFonts w:hint="eastAsia" w:ascii="Times New Roman" w:hAnsi="Times New Roman" w:eastAsia="仿宋_GB2312"/>
          <w:color w:val="auto"/>
          <w:kern w:val="0"/>
          <w:sz w:val="32"/>
          <w:szCs w:val="32"/>
          <w:lang w:eastAsia="zh-CN"/>
        </w:rPr>
        <w:t>小学和初中</w:t>
      </w:r>
      <w:r>
        <w:rPr>
          <w:rFonts w:ascii="Times New Roman" w:hAnsi="Times New Roman" w:eastAsia="仿宋_GB2312"/>
          <w:color w:val="auto"/>
          <w:kern w:val="0"/>
          <w:sz w:val="32"/>
          <w:szCs w:val="32"/>
        </w:rPr>
        <w:t>的学位指标或入学资助，用于推动本市产业结构和人才结构优化发展的项目</w:t>
      </w:r>
      <w:r>
        <w:rPr>
          <w:rFonts w:hint="eastAsia" w:ascii="Times New Roman" w:hAnsi="Times New Roman" w:eastAsia="仿宋_GB2312"/>
          <w:color w:val="auto"/>
          <w:sz w:val="32"/>
          <w:szCs w:val="32"/>
        </w:rPr>
        <w:t>。</w:t>
      </w:r>
    </w:p>
    <w:p>
      <w:pPr>
        <w:widowControl/>
        <w:spacing w:line="560" w:lineRule="exact"/>
        <w:ind w:firstLine="640" w:firstLineChars="200"/>
        <w:rPr>
          <w:rFonts w:ascii="Times New Roman" w:hAnsi="Times New Roman" w:eastAsia="黑体"/>
          <w:bCs/>
          <w:color w:val="auto"/>
          <w:kern w:val="0"/>
          <w:sz w:val="32"/>
          <w:szCs w:val="32"/>
        </w:rPr>
      </w:pPr>
      <w:r>
        <w:rPr>
          <w:rFonts w:ascii="Times New Roman" w:hAnsi="Times New Roman" w:eastAsia="黑体"/>
          <w:color w:val="auto"/>
          <w:sz w:val="32"/>
          <w:szCs w:val="32"/>
        </w:rPr>
        <w:t xml:space="preserve">第二条  </w:t>
      </w:r>
      <w:r>
        <w:rPr>
          <w:rFonts w:ascii="Times New Roman" w:hAnsi="Times New Roman" w:eastAsia="黑体"/>
          <w:bCs/>
          <w:color w:val="auto"/>
          <w:kern w:val="0"/>
          <w:sz w:val="32"/>
          <w:szCs w:val="32"/>
        </w:rPr>
        <w:t>条件</w:t>
      </w:r>
      <w:r>
        <w:rPr>
          <w:rFonts w:hint="eastAsia" w:ascii="Times New Roman" w:hAnsi="Times New Roman" w:eastAsia="黑体"/>
          <w:bCs/>
          <w:color w:val="auto"/>
          <w:kern w:val="0"/>
          <w:sz w:val="32"/>
          <w:szCs w:val="32"/>
        </w:rPr>
        <w:t>要求</w:t>
      </w:r>
    </w:p>
    <w:p>
      <w:pPr>
        <w:numPr>
          <w:ilvl w:val="0"/>
          <w:numId w:val="1"/>
        </w:num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倍增企业上</w:t>
      </w:r>
      <w:r>
        <w:rPr>
          <w:rFonts w:ascii="Times New Roman" w:hAnsi="Times New Roman" w:eastAsia="仿宋_GB2312"/>
          <w:color w:val="auto"/>
          <w:sz w:val="32"/>
          <w:szCs w:val="32"/>
        </w:rPr>
        <w:t>年度营业收入增长达15%（含）以上</w:t>
      </w:r>
      <w:r>
        <w:rPr>
          <w:rFonts w:hint="eastAsia" w:ascii="Times New Roman" w:hAnsi="Times New Roman"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olor w:val="auto"/>
          <w:sz w:val="32"/>
          <w:szCs w:val="32"/>
        </w:rPr>
      </w:pPr>
      <w:r>
        <w:rPr>
          <w:rFonts w:ascii="Times New Roman" w:hAnsi="Times New Roman" w:eastAsia="仿宋_GB2312"/>
          <w:color w:val="auto"/>
          <w:sz w:val="32"/>
          <w:szCs w:val="32"/>
        </w:rPr>
        <w:t>认定</w:t>
      </w:r>
      <w:r>
        <w:rPr>
          <w:rFonts w:hint="eastAsia" w:ascii="Times New Roman" w:hAnsi="Times New Roman" w:eastAsia="仿宋_GB2312"/>
          <w:color w:val="auto"/>
          <w:sz w:val="32"/>
          <w:szCs w:val="32"/>
        </w:rPr>
        <w:t>有效期内</w:t>
      </w:r>
      <w:r>
        <w:rPr>
          <w:rFonts w:ascii="Times New Roman" w:hAnsi="Times New Roman" w:eastAsia="仿宋_GB2312"/>
          <w:color w:val="auto"/>
          <w:sz w:val="32"/>
          <w:szCs w:val="32"/>
        </w:rPr>
        <w:t>国家专精特新“小巨人”企业视同倍增企业</w:t>
      </w:r>
      <w:r>
        <w:rPr>
          <w:rFonts w:hint="eastAsia" w:ascii="Times New Roman" w:hAnsi="Times New Roman" w:eastAsia="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人员为企业核心骨干及中高层管理人员，或企业认为有突出贡献的人员；</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）人员与所在企业存在劳动关系；</w:t>
      </w:r>
    </w:p>
    <w:p>
      <w:pPr>
        <w:spacing w:line="560" w:lineRule="exact"/>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）企业不</w:t>
      </w:r>
      <w:r>
        <w:rPr>
          <w:rFonts w:ascii="Times New Roman" w:hAnsi="Times New Roman" w:eastAsia="仿宋_GB2312"/>
          <w:color w:val="auto"/>
          <w:sz w:val="32"/>
          <w:szCs w:val="32"/>
        </w:rPr>
        <w:t>存在</w:t>
      </w:r>
      <w:r>
        <w:rPr>
          <w:rFonts w:hint="eastAsia" w:ascii="Times New Roman" w:hAnsi="Times New Roman" w:eastAsia="仿宋_GB2312"/>
          <w:color w:val="auto"/>
          <w:sz w:val="32"/>
          <w:szCs w:val="32"/>
        </w:rPr>
        <w:t>《关于东莞市促进经济发展类专项资金不予资助范围的若干规定》</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东财规〔2023〕2号</w:t>
      </w:r>
      <w:r>
        <w:rPr>
          <w:rFonts w:ascii="Times New Roman" w:hAnsi="Times New Roman" w:eastAsia="仿宋_GB2312"/>
          <w:color w:val="auto"/>
          <w:sz w:val="32"/>
          <w:szCs w:val="32"/>
        </w:rPr>
        <w:t>）所规定的不予资助情况</w:t>
      </w:r>
      <w:r>
        <w:rPr>
          <w:rFonts w:hint="eastAsia" w:ascii="Times New Roman" w:hAnsi="Times New Roman" w:eastAsia="仿宋_GB2312"/>
          <w:color w:val="auto"/>
          <w:sz w:val="32"/>
          <w:szCs w:val="32"/>
        </w:rPr>
        <w:t>。</w:t>
      </w:r>
    </w:p>
    <w:p>
      <w:pPr>
        <w:widowControl/>
        <w:spacing w:line="560" w:lineRule="exact"/>
        <w:ind w:firstLine="640" w:firstLineChars="200"/>
        <w:rPr>
          <w:rFonts w:ascii="Times New Roman" w:hAnsi="Times New Roman" w:eastAsia="黑体"/>
          <w:bCs/>
          <w:color w:val="auto"/>
          <w:kern w:val="0"/>
          <w:sz w:val="32"/>
          <w:szCs w:val="32"/>
        </w:rPr>
      </w:pPr>
      <w:r>
        <w:rPr>
          <w:rFonts w:ascii="Times New Roman" w:hAnsi="Times New Roman" w:eastAsia="黑体"/>
          <w:color w:val="auto"/>
          <w:sz w:val="32"/>
          <w:szCs w:val="32"/>
        </w:rPr>
        <w:t xml:space="preserve">第三条  </w:t>
      </w:r>
      <w:r>
        <w:rPr>
          <w:rFonts w:hint="eastAsia" w:ascii="Times New Roman" w:hAnsi="Times New Roman" w:eastAsia="黑体"/>
          <w:bCs/>
          <w:color w:val="auto"/>
          <w:kern w:val="0"/>
          <w:sz w:val="32"/>
          <w:szCs w:val="32"/>
        </w:rPr>
        <w:t>资助范围</w:t>
      </w:r>
    </w:p>
    <w:p>
      <w:pPr>
        <w:widowControl/>
        <w:spacing w:line="560" w:lineRule="exact"/>
        <w:rPr>
          <w:rFonts w:ascii="Times New Roman" w:hAnsi="Times New Roman" w:eastAsia="黑体"/>
          <w:bCs/>
          <w:color w:val="auto"/>
          <w:kern w:val="0"/>
          <w:sz w:val="32"/>
          <w:szCs w:val="32"/>
        </w:rPr>
      </w:pPr>
      <w:r>
        <w:rPr>
          <w:rFonts w:hint="eastAsia" w:ascii="Times New Roman" w:hAnsi="Times New Roman" w:eastAsia="黑体"/>
          <w:bCs/>
          <w:color w:val="auto"/>
          <w:kern w:val="0"/>
          <w:sz w:val="32"/>
          <w:szCs w:val="32"/>
        </w:rPr>
        <w:t xml:space="preserve">    </w:t>
      </w:r>
      <w:r>
        <w:rPr>
          <w:rFonts w:hint="eastAsia" w:ascii="Times New Roman" w:hAnsi="Times New Roman" w:eastAsia="仿宋_GB2312"/>
          <w:color w:val="auto"/>
          <w:sz w:val="32"/>
          <w:szCs w:val="32"/>
        </w:rPr>
        <w:t>对倍增企业骨干人员子女入读东莞民办中小学校</w:t>
      </w:r>
      <w:r>
        <w:rPr>
          <w:rFonts w:hint="eastAsia" w:ascii="Times New Roman" w:hAnsi="Times New Roman" w:eastAsia="仿宋_GB2312"/>
          <w:color w:val="auto"/>
          <w:sz w:val="32"/>
          <w:szCs w:val="32"/>
          <w:lang w:eastAsia="zh-CN"/>
        </w:rPr>
        <w:t>（包含小学及初中）</w:t>
      </w:r>
      <w:r>
        <w:rPr>
          <w:rFonts w:hint="eastAsia" w:ascii="Times New Roman" w:hAnsi="Times New Roman" w:eastAsia="仿宋_GB2312"/>
          <w:color w:val="auto"/>
          <w:sz w:val="32"/>
          <w:szCs w:val="32"/>
        </w:rPr>
        <w:t>的学费进行资助。</w:t>
      </w:r>
    </w:p>
    <w:p>
      <w:pPr>
        <w:widowControl/>
        <w:spacing w:line="560" w:lineRule="exact"/>
        <w:ind w:firstLine="640" w:firstLineChars="200"/>
        <w:rPr>
          <w:rFonts w:ascii="Times New Roman" w:hAnsi="Times New Roman" w:eastAsia="黑体"/>
          <w:bCs/>
          <w:color w:val="auto"/>
          <w:kern w:val="0"/>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四</w:t>
      </w:r>
      <w:r>
        <w:rPr>
          <w:rFonts w:ascii="Times New Roman" w:hAnsi="Times New Roman" w:eastAsia="黑体"/>
          <w:color w:val="auto"/>
          <w:sz w:val="32"/>
          <w:szCs w:val="32"/>
        </w:rPr>
        <w:t xml:space="preserve">条  </w:t>
      </w:r>
      <w:r>
        <w:rPr>
          <w:rFonts w:ascii="Times New Roman" w:hAnsi="Times New Roman" w:eastAsia="黑体"/>
          <w:bCs/>
          <w:color w:val="auto"/>
          <w:kern w:val="0"/>
          <w:sz w:val="32"/>
          <w:szCs w:val="32"/>
        </w:rPr>
        <w:t>指标分配</w:t>
      </w:r>
    </w:p>
    <w:p>
      <w:pPr>
        <w:topLinePunct/>
        <w:autoSpaceDE w:val="0"/>
        <w:autoSpaceDN w:val="0"/>
        <w:snapToGrid w:val="0"/>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sz w:val="32"/>
          <w:szCs w:val="32"/>
        </w:rPr>
        <w:t>按照申报企业</w:t>
      </w:r>
      <w:r>
        <w:rPr>
          <w:rFonts w:hint="eastAsia" w:ascii="Times New Roman" w:hAnsi="Times New Roman" w:eastAsia="仿宋_GB2312"/>
          <w:color w:val="auto"/>
          <w:sz w:val="32"/>
          <w:szCs w:val="32"/>
        </w:rPr>
        <w:t>上</w:t>
      </w:r>
      <w:r>
        <w:rPr>
          <w:rFonts w:ascii="Times New Roman" w:hAnsi="Times New Roman" w:eastAsia="仿宋_GB2312"/>
          <w:color w:val="auto"/>
          <w:sz w:val="32"/>
          <w:szCs w:val="32"/>
        </w:rPr>
        <w:t>年度的营业收入额度划分为三个资助区间进行指标分配。企业</w:t>
      </w:r>
      <w:r>
        <w:rPr>
          <w:rFonts w:ascii="Times New Roman" w:hAnsi="Times New Roman" w:eastAsia="仿宋_GB2312"/>
          <w:color w:val="auto"/>
          <w:kern w:val="0"/>
          <w:sz w:val="32"/>
          <w:szCs w:val="32"/>
        </w:rPr>
        <w:t>可获得年度资助名</w:t>
      </w:r>
      <w:r>
        <w:rPr>
          <w:rFonts w:ascii="Times New Roman" w:hAnsi="Times New Roman" w:eastAsia="仿宋_GB2312"/>
          <w:b w:val="0"/>
          <w:bCs w:val="0"/>
          <w:color w:val="auto"/>
          <w:kern w:val="0"/>
          <w:sz w:val="32"/>
          <w:szCs w:val="32"/>
        </w:rPr>
        <w:t>额（人次）</w:t>
      </w:r>
      <w:r>
        <w:rPr>
          <w:rFonts w:ascii="Times New Roman" w:hAnsi="Times New Roman" w:eastAsia="仿宋_GB2312"/>
          <w:color w:val="auto"/>
          <w:kern w:val="0"/>
          <w:sz w:val="32"/>
          <w:szCs w:val="32"/>
        </w:rPr>
        <w:t>如下：</w:t>
      </w:r>
    </w:p>
    <w:tbl>
      <w:tblPr>
        <w:tblStyle w:val="7"/>
        <w:tblW w:w="8318" w:type="dxa"/>
        <w:jc w:val="center"/>
        <w:tblLayout w:type="autofit"/>
        <w:tblCellMar>
          <w:top w:w="0" w:type="dxa"/>
          <w:left w:w="108" w:type="dxa"/>
          <w:bottom w:w="0" w:type="dxa"/>
          <w:right w:w="108" w:type="dxa"/>
        </w:tblCellMar>
      </w:tblPr>
      <w:tblGrid>
        <w:gridCol w:w="3300"/>
        <w:gridCol w:w="3650"/>
        <w:gridCol w:w="1368"/>
      </w:tblGrid>
      <w:tr>
        <w:tblPrEx>
          <w:tblCellMar>
            <w:top w:w="0" w:type="dxa"/>
            <w:left w:w="108" w:type="dxa"/>
            <w:bottom w:w="0" w:type="dxa"/>
            <w:right w:w="108" w:type="dxa"/>
          </w:tblCellMar>
        </w:tblPrEx>
        <w:trPr>
          <w:trHeight w:val="506" w:hRule="atLeast"/>
          <w:jc w:val="center"/>
        </w:trPr>
        <w:tc>
          <w:tcPr>
            <w:tcW w:w="695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黑体"/>
                <w:color w:val="auto"/>
                <w:sz w:val="28"/>
                <w:szCs w:val="28"/>
              </w:rPr>
            </w:pPr>
            <w:bookmarkStart w:id="0" w:name="_Hlk68252619"/>
            <w:r>
              <w:rPr>
                <w:rFonts w:ascii="Times New Roman" w:hAnsi="Times New Roman" w:eastAsia="黑体"/>
                <w:color w:val="auto"/>
                <w:sz w:val="28"/>
                <w:szCs w:val="28"/>
              </w:rPr>
              <w:t>企业营收区间</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Times New Roman" w:hAnsi="Times New Roman" w:eastAsia="楷体_GB2312"/>
                <w:color w:val="auto"/>
                <w:sz w:val="28"/>
                <w:szCs w:val="28"/>
                <w:lang w:eastAsia="zh-CN"/>
              </w:rPr>
            </w:pPr>
            <w:r>
              <w:rPr>
                <w:rFonts w:hint="eastAsia" w:ascii="Times New Roman" w:hAnsi="Times New Roman" w:eastAsia="黑体"/>
                <w:color w:val="auto"/>
                <w:sz w:val="28"/>
                <w:szCs w:val="28"/>
                <w:lang w:eastAsia="zh-CN"/>
              </w:rPr>
              <w:t>倍增</w:t>
            </w:r>
            <w:r>
              <w:rPr>
                <w:rFonts w:ascii="Times New Roman" w:hAnsi="Times New Roman" w:eastAsia="黑体"/>
                <w:color w:val="auto"/>
                <w:sz w:val="28"/>
                <w:szCs w:val="28"/>
              </w:rPr>
              <w:t>企业</w:t>
            </w:r>
            <w:r>
              <w:rPr>
                <w:rFonts w:hint="eastAsia" w:ascii="Times New Roman" w:hAnsi="Times New Roman" w:eastAsia="黑体"/>
                <w:color w:val="auto"/>
                <w:sz w:val="28"/>
                <w:szCs w:val="28"/>
              </w:rPr>
              <w:t>指标数量</w:t>
            </w:r>
          </w:p>
        </w:tc>
      </w:tr>
      <w:tr>
        <w:tblPrEx>
          <w:tblCellMar>
            <w:top w:w="0" w:type="dxa"/>
            <w:left w:w="108" w:type="dxa"/>
            <w:bottom w:w="0" w:type="dxa"/>
            <w:right w:w="108" w:type="dxa"/>
          </w:tblCellMar>
        </w:tblPrEx>
        <w:trPr>
          <w:trHeight w:val="655"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黑体"/>
                <w:color w:val="auto"/>
                <w:sz w:val="28"/>
                <w:szCs w:val="28"/>
              </w:rPr>
            </w:pPr>
            <w:r>
              <w:rPr>
                <w:rFonts w:ascii="Times New Roman" w:hAnsi="Times New Roman" w:eastAsia="黑体"/>
                <w:color w:val="auto"/>
                <w:sz w:val="28"/>
                <w:szCs w:val="28"/>
              </w:rPr>
              <w:t>工业和商服类企业</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黑体"/>
                <w:color w:val="auto"/>
                <w:sz w:val="28"/>
                <w:szCs w:val="28"/>
              </w:rPr>
            </w:pPr>
            <w:r>
              <w:rPr>
                <w:rFonts w:ascii="Times New Roman" w:hAnsi="Times New Roman" w:eastAsia="黑体"/>
                <w:color w:val="auto"/>
                <w:sz w:val="28"/>
                <w:szCs w:val="28"/>
              </w:rPr>
              <w:t>软件与信息技术服务业企业</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0"/>
                <w:szCs w:val="20"/>
              </w:rPr>
            </w:pPr>
          </w:p>
        </w:tc>
      </w:tr>
      <w:tr>
        <w:tblPrEx>
          <w:tblCellMar>
            <w:top w:w="0" w:type="dxa"/>
            <w:left w:w="108" w:type="dxa"/>
            <w:bottom w:w="0" w:type="dxa"/>
            <w:right w:w="108" w:type="dxa"/>
          </w:tblCellMar>
        </w:tblPrEx>
        <w:trPr>
          <w:trHeight w:val="580"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2亿元以下</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5000万以下</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5</w:t>
            </w:r>
          </w:p>
        </w:tc>
      </w:tr>
      <w:tr>
        <w:tblPrEx>
          <w:tblCellMar>
            <w:top w:w="0" w:type="dxa"/>
            <w:left w:w="108" w:type="dxa"/>
            <w:bottom w:w="0" w:type="dxa"/>
            <w:right w:w="108" w:type="dxa"/>
          </w:tblCellMar>
        </w:tblPrEx>
        <w:trPr>
          <w:trHeight w:val="715"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2亿（含）至10亿元</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5000万（含）至1亿元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8</w:t>
            </w:r>
          </w:p>
        </w:tc>
      </w:tr>
      <w:tr>
        <w:tblPrEx>
          <w:tblCellMar>
            <w:top w:w="0" w:type="dxa"/>
            <w:left w:w="108" w:type="dxa"/>
            <w:bottom w:w="0" w:type="dxa"/>
            <w:right w:w="108" w:type="dxa"/>
          </w:tblCellMar>
        </w:tblPrEx>
        <w:trPr>
          <w:trHeight w:val="764"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10亿元（含）以上</w:t>
            </w:r>
          </w:p>
        </w:tc>
        <w:tc>
          <w:tcPr>
            <w:tcW w:w="36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1亿元（含）以上</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12</w:t>
            </w:r>
          </w:p>
        </w:tc>
      </w:tr>
      <w:bookmarkEnd w:id="0"/>
    </w:tbl>
    <w:p>
      <w:pPr>
        <w:pStyle w:val="2"/>
        <w:widowControl/>
        <w:spacing w:line="560" w:lineRule="exact"/>
        <w:ind w:firstLine="640" w:firstLineChars="200"/>
        <w:rPr>
          <w:bCs/>
          <w:color w:val="auto"/>
          <w:kern w:val="0"/>
          <w:szCs w:val="32"/>
        </w:rPr>
      </w:pPr>
      <w:r>
        <w:rPr>
          <w:rFonts w:hint="eastAsia"/>
          <w:color w:val="auto"/>
          <w:szCs w:val="32"/>
        </w:rPr>
        <w:t>若同时属于多个资助区间的企业，</w:t>
      </w:r>
      <w:r>
        <w:rPr>
          <w:color w:val="auto"/>
          <w:szCs w:val="32"/>
        </w:rPr>
        <w:t>按就高不就低原则进行资助</w:t>
      </w:r>
      <w:r>
        <w:rPr>
          <w:rFonts w:hint="eastAsia"/>
          <w:color w:val="auto"/>
          <w:szCs w:val="32"/>
        </w:rPr>
        <w:t>。</w:t>
      </w:r>
      <w:r>
        <w:rPr>
          <w:color w:val="auto"/>
          <w:szCs w:val="32"/>
        </w:rPr>
        <w:t>企业营业收入数据以部门提供为主</w:t>
      </w:r>
      <w:r>
        <w:rPr>
          <w:rFonts w:hint="eastAsia"/>
          <w:color w:val="auto"/>
          <w:szCs w:val="32"/>
          <w:lang w:eastAsia="zh-CN"/>
        </w:rPr>
        <w:t>，企业提供为辅</w:t>
      </w:r>
      <w:r>
        <w:rPr>
          <w:rFonts w:hint="eastAsia"/>
          <w:color w:val="auto"/>
          <w:szCs w:val="32"/>
        </w:rPr>
        <w:t>。</w:t>
      </w:r>
    </w:p>
    <w:p>
      <w:pPr>
        <w:widowControl/>
        <w:spacing w:line="560" w:lineRule="exact"/>
        <w:ind w:firstLine="640" w:firstLineChars="200"/>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五</w:t>
      </w:r>
      <w:r>
        <w:rPr>
          <w:rFonts w:ascii="Times New Roman" w:hAnsi="Times New Roman" w:eastAsia="黑体"/>
          <w:color w:val="auto"/>
          <w:sz w:val="32"/>
          <w:szCs w:val="32"/>
        </w:rPr>
        <w:t xml:space="preserve">条  </w:t>
      </w:r>
      <w:r>
        <w:rPr>
          <w:rFonts w:ascii="Times New Roman" w:hAnsi="Times New Roman" w:eastAsia="黑体"/>
          <w:bCs/>
          <w:color w:val="auto"/>
          <w:kern w:val="0"/>
          <w:sz w:val="32"/>
          <w:szCs w:val="32"/>
        </w:rPr>
        <w:t>资助</w:t>
      </w:r>
      <w:r>
        <w:rPr>
          <w:rFonts w:hint="eastAsia" w:ascii="Times New Roman" w:hAnsi="Times New Roman" w:eastAsia="黑体"/>
          <w:bCs/>
          <w:color w:val="auto"/>
          <w:kern w:val="0"/>
          <w:sz w:val="32"/>
          <w:szCs w:val="32"/>
        </w:rPr>
        <w:t>方式与</w:t>
      </w:r>
      <w:r>
        <w:rPr>
          <w:rFonts w:ascii="Times New Roman" w:hAnsi="Times New Roman" w:eastAsia="黑体"/>
          <w:bCs/>
          <w:color w:val="auto"/>
          <w:kern w:val="0"/>
          <w:sz w:val="32"/>
          <w:szCs w:val="32"/>
        </w:rPr>
        <w:t>标准</w:t>
      </w:r>
    </w:p>
    <w:p>
      <w:pPr>
        <w:widowControl/>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（一）一学年的学费资助总金额最高不超过</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000元，不足</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000元的据实资助；学期（半学年）按照上述补助额减半进行计算，最高资助不超过</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000元，不足</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000元的据实资助。</w:t>
      </w:r>
    </w:p>
    <w:p>
      <w:pPr>
        <w:pStyle w:val="2"/>
        <w:spacing w:line="600" w:lineRule="exact"/>
        <w:ind w:firstLine="640" w:firstLineChars="200"/>
        <w:rPr>
          <w:color w:val="auto"/>
        </w:rPr>
      </w:pPr>
      <w:r>
        <w:rPr>
          <w:rFonts w:hint="eastAsia"/>
          <w:color w:val="auto"/>
          <w:szCs w:val="32"/>
        </w:rPr>
        <w:t>（二）</w:t>
      </w:r>
      <w:r>
        <w:rPr>
          <w:color w:val="auto"/>
        </w:rPr>
        <w:t>倍增企业骨干人员子女入读我市民办学校的资助资金实</w:t>
      </w:r>
      <w:r>
        <w:rPr>
          <w:rFonts w:hint="eastAsia"/>
          <w:color w:val="auto"/>
        </w:rPr>
        <w:t>行“一对一”划拨，</w:t>
      </w:r>
      <w:r>
        <w:rPr>
          <w:color w:val="auto"/>
        </w:rPr>
        <w:t>直接转入</w:t>
      </w:r>
      <w:r>
        <w:rPr>
          <w:rFonts w:hint="eastAsia"/>
          <w:color w:val="auto"/>
          <w:lang w:eastAsia="zh-CN"/>
        </w:rPr>
        <w:t>个人</w:t>
      </w:r>
      <w:r>
        <w:rPr>
          <w:rFonts w:hint="eastAsia"/>
          <w:color w:val="auto"/>
        </w:rPr>
        <w:t>银行卡</w:t>
      </w:r>
      <w:r>
        <w:rPr>
          <w:color w:val="auto"/>
        </w:rPr>
        <w:t>账户。</w:t>
      </w:r>
    </w:p>
    <w:p>
      <w:pPr>
        <w:widowControl/>
        <w:spacing w:line="560" w:lineRule="exact"/>
        <w:ind w:firstLine="640" w:firstLineChars="200"/>
        <w:rPr>
          <w:rFonts w:ascii="Times New Roman" w:hAnsi="Times New Roman" w:eastAsia="黑体"/>
          <w:bCs/>
          <w:color w:val="auto"/>
          <w:kern w:val="0"/>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六</w:t>
      </w:r>
      <w:r>
        <w:rPr>
          <w:rFonts w:ascii="Times New Roman" w:hAnsi="Times New Roman" w:eastAsia="黑体"/>
          <w:color w:val="auto"/>
          <w:sz w:val="32"/>
          <w:szCs w:val="32"/>
        </w:rPr>
        <w:t xml:space="preserve">条  </w:t>
      </w:r>
      <w:r>
        <w:rPr>
          <w:rFonts w:hint="eastAsia" w:ascii="Times New Roman" w:hAnsi="Times New Roman" w:eastAsia="黑体"/>
          <w:bCs/>
          <w:color w:val="auto"/>
          <w:kern w:val="0"/>
          <w:sz w:val="32"/>
          <w:szCs w:val="32"/>
        </w:rPr>
        <w:t>工作</w:t>
      </w:r>
      <w:r>
        <w:rPr>
          <w:rFonts w:ascii="Times New Roman" w:hAnsi="Times New Roman" w:eastAsia="黑体"/>
          <w:bCs/>
          <w:color w:val="auto"/>
          <w:kern w:val="0"/>
          <w:sz w:val="32"/>
          <w:szCs w:val="32"/>
        </w:rPr>
        <w:t>流程</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eastAsia" w:ascii="楷体_GB2312" w:hAnsi="Times New Roman" w:eastAsia="楷体_GB2312" w:cs="Times New Roman"/>
          <w:bCs/>
          <w:color w:val="000000"/>
          <w:kern w:val="0"/>
          <w:sz w:val="32"/>
          <w:szCs w:val="32"/>
          <w:lang w:val="en-US" w:eastAsia="zh-CN" w:bidi="ar-SA"/>
        </w:rPr>
        <w:t>（一）形成资助名单。</w:t>
      </w:r>
      <w:r>
        <w:rPr>
          <w:rFonts w:ascii="Times New Roman" w:hAnsi="Times New Roman" w:eastAsia="仿宋_GB2312"/>
          <w:sz w:val="32"/>
          <w:szCs w:val="32"/>
        </w:rPr>
        <w:t>市</w:t>
      </w:r>
      <w:r>
        <w:rPr>
          <w:rFonts w:hint="eastAsia" w:ascii="Times New Roman" w:hAnsi="Times New Roman" w:eastAsia="仿宋_GB2312"/>
          <w:sz w:val="32"/>
          <w:szCs w:val="32"/>
          <w:lang w:eastAsia="zh-CN"/>
        </w:rPr>
        <w:t>工业和信息化局</w:t>
      </w:r>
      <w:r>
        <w:rPr>
          <w:rFonts w:hint="default" w:ascii="Times New Roman" w:hAnsi="Times New Roman" w:eastAsia="仿宋_GB2312" w:cs="Times New Roman"/>
          <w:color w:val="auto"/>
          <w:sz w:val="32"/>
          <w:szCs w:val="32"/>
        </w:rPr>
        <w:t>根据企业营业收入增长情况拟出符合条件的企业名单，</w:t>
      </w:r>
      <w:r>
        <w:rPr>
          <w:rFonts w:hint="default" w:ascii="Times New Roman" w:hAnsi="Times New Roman" w:eastAsia="仿宋_GB2312" w:cs="Times New Roman"/>
          <w:bCs/>
          <w:color w:val="000000"/>
          <w:sz w:val="32"/>
          <w:szCs w:val="32"/>
          <w:lang w:eastAsia="zh-CN"/>
        </w:rPr>
        <w:t>企业确认人员名单后通过</w:t>
      </w:r>
      <w:r>
        <w:rPr>
          <w:rFonts w:hint="default" w:ascii="Times New Roman" w:hAnsi="Times New Roman" w:eastAsia="仿宋_GB2312" w:cs="Times New Roman"/>
          <w:bCs/>
          <w:color w:val="000000"/>
          <w:kern w:val="0"/>
          <w:sz w:val="32"/>
          <w:szCs w:val="32"/>
        </w:rPr>
        <w:t>登陆“企莞家”（http://im.dg.gov.cn）</w:t>
      </w:r>
      <w:r>
        <w:rPr>
          <w:rFonts w:hint="default" w:ascii="Times New Roman" w:hAnsi="Times New Roman" w:eastAsia="仿宋_GB2312" w:cs="Times New Roman"/>
          <w:bCs/>
          <w:color w:val="000000"/>
          <w:kern w:val="0"/>
          <w:sz w:val="32"/>
          <w:szCs w:val="32"/>
          <w:lang w:eastAsia="zh-CN"/>
        </w:rPr>
        <w:t>补充相关证明材料</w:t>
      </w:r>
      <w:r>
        <w:rPr>
          <w:rFonts w:hint="default" w:ascii="Times New Roman" w:hAnsi="Times New Roman" w:eastAsia="仿宋_GB2312" w:cs="Times New Roman"/>
          <w:color w:val="auto"/>
          <w:sz w:val="32"/>
          <w:szCs w:val="32"/>
        </w:rPr>
        <w:t>。</w:t>
      </w:r>
    </w:p>
    <w:p>
      <w:pPr>
        <w:pStyle w:val="6"/>
        <w:widowControl/>
        <w:spacing w:before="0" w:beforeAutospacing="0" w:after="0" w:afterAutospacing="0" w:line="560" w:lineRule="exact"/>
        <w:ind w:firstLine="640" w:firstLineChars="200"/>
        <w:rPr>
          <w:rFonts w:hint="eastAsia" w:ascii="Times New Roman" w:hAnsi="Times New Roman" w:eastAsia="仿宋_GB2312"/>
          <w:color w:val="auto"/>
          <w:sz w:val="32"/>
          <w:szCs w:val="32"/>
        </w:rPr>
      </w:pPr>
      <w:r>
        <w:rPr>
          <w:rFonts w:hint="eastAsia" w:ascii="楷体_GB2312" w:hAnsi="Times New Roman" w:eastAsia="楷体_GB2312"/>
          <w:bCs/>
          <w:color w:val="000000"/>
          <w:sz w:val="32"/>
          <w:szCs w:val="32"/>
          <w:lang w:eastAsia="zh-CN"/>
        </w:rPr>
        <w:t>（二）形式审查。</w:t>
      </w:r>
      <w:r>
        <w:rPr>
          <w:rFonts w:hint="eastAsia" w:ascii="Times New Roman" w:hAnsi="Times New Roman" w:eastAsia="仿宋_GB2312" w:cs="Times New Roman"/>
          <w:bCs/>
          <w:color w:val="000000"/>
          <w:kern w:val="0"/>
          <w:sz w:val="32"/>
          <w:szCs w:val="32"/>
          <w:lang w:val="en-US" w:eastAsia="zh-CN" w:bidi="ar-SA"/>
        </w:rPr>
        <w:t>市工</w:t>
      </w:r>
      <w:r>
        <w:rPr>
          <w:rFonts w:hint="eastAsia" w:ascii="Times New Roman" w:hAnsi="Times New Roman" w:eastAsia="仿宋_GB2312"/>
          <w:sz w:val="32"/>
          <w:szCs w:val="32"/>
          <w:lang w:eastAsia="zh-CN"/>
        </w:rPr>
        <w:t>业和信息化局</w:t>
      </w:r>
      <w:r>
        <w:rPr>
          <w:rFonts w:ascii="Times New Roman" w:hAnsi="Times New Roman" w:eastAsia="仿宋_GB2312"/>
          <w:bCs/>
          <w:color w:val="000000"/>
          <w:sz w:val="32"/>
          <w:szCs w:val="32"/>
        </w:rPr>
        <w:t>对</w:t>
      </w:r>
      <w:r>
        <w:rPr>
          <w:rFonts w:hint="eastAsia" w:ascii="Times New Roman" w:hAnsi="Times New Roman" w:eastAsia="仿宋_GB2312"/>
          <w:bCs/>
          <w:color w:val="000000"/>
          <w:sz w:val="32"/>
          <w:szCs w:val="32"/>
          <w:lang w:eastAsia="zh-CN"/>
        </w:rPr>
        <w:t>项目</w:t>
      </w:r>
      <w:r>
        <w:rPr>
          <w:rFonts w:ascii="Times New Roman" w:hAnsi="Times New Roman" w:eastAsia="仿宋_GB2312"/>
          <w:bCs/>
          <w:color w:val="000000"/>
          <w:sz w:val="32"/>
          <w:szCs w:val="32"/>
        </w:rPr>
        <w:t>进行形式审查</w:t>
      </w:r>
      <w:r>
        <w:rPr>
          <w:rFonts w:hint="eastAsia" w:ascii="Times New Roman" w:hAnsi="Times New Roman" w:eastAsia="仿宋_GB2312"/>
          <w:bCs/>
          <w:color w:val="000000"/>
          <w:sz w:val="32"/>
          <w:szCs w:val="32"/>
          <w:lang w:eastAsia="zh-CN"/>
        </w:rPr>
        <w:t>，并征求部门意见及不予资助情况，其中</w:t>
      </w:r>
      <w:r>
        <w:rPr>
          <w:rFonts w:hint="eastAsia" w:ascii="Times New Roman" w:hAnsi="Times New Roman" w:eastAsia="仿宋_GB2312"/>
          <w:color w:val="auto"/>
          <w:sz w:val="32"/>
          <w:szCs w:val="32"/>
        </w:rPr>
        <w:t>市人社局协助核查该申请人员是否在该企业仍存在</w:t>
      </w:r>
      <w:r>
        <w:rPr>
          <w:rFonts w:hint="eastAsia" w:ascii="Times New Roman" w:hAnsi="Times New Roman" w:eastAsia="仿宋_GB2312"/>
          <w:color w:val="auto"/>
          <w:sz w:val="32"/>
          <w:szCs w:val="32"/>
          <w:lang w:eastAsia="zh-CN"/>
        </w:rPr>
        <w:t>劳动</w:t>
      </w:r>
      <w:r>
        <w:rPr>
          <w:rFonts w:hint="eastAsia" w:ascii="Times New Roman" w:hAnsi="Times New Roman" w:eastAsia="仿宋_GB2312"/>
          <w:color w:val="auto"/>
          <w:sz w:val="32"/>
          <w:szCs w:val="32"/>
        </w:rPr>
        <w:t>关系，市教育局协助核查学生学籍信息</w:t>
      </w:r>
      <w:r>
        <w:rPr>
          <w:rFonts w:hint="eastAsia" w:ascii="Times New Roman" w:hAnsi="Times New Roman" w:eastAsia="仿宋_GB2312"/>
          <w:color w:val="auto"/>
          <w:sz w:val="32"/>
          <w:szCs w:val="32"/>
          <w:lang w:eastAsia="zh-CN"/>
        </w:rPr>
        <w:t>及</w:t>
      </w:r>
      <w:r>
        <w:rPr>
          <w:rFonts w:hint="eastAsia" w:ascii="Times New Roman" w:hAnsi="Times New Roman" w:eastAsia="仿宋_GB2312"/>
          <w:bCs/>
          <w:color w:val="000000"/>
          <w:sz w:val="32"/>
          <w:szCs w:val="32"/>
          <w:lang w:eastAsia="zh-CN"/>
        </w:rPr>
        <w:t>重复资助情况</w:t>
      </w:r>
      <w:r>
        <w:rPr>
          <w:rFonts w:hint="eastAsia" w:ascii="Times New Roman" w:hAnsi="Times New Roman" w:eastAsia="仿宋_GB2312"/>
          <w:color w:val="auto"/>
          <w:sz w:val="32"/>
          <w:szCs w:val="32"/>
        </w:rPr>
        <w:t>情况</w:t>
      </w:r>
    </w:p>
    <w:p>
      <w:pPr>
        <w:pStyle w:val="6"/>
        <w:widowControl/>
        <w:spacing w:before="0" w:beforeAutospacing="0" w:after="0" w:afterAutospacing="0" w:line="560" w:lineRule="exact"/>
        <w:ind w:firstLine="640" w:firstLineChars="200"/>
        <w:rPr>
          <w:rFonts w:ascii="Times New Roman" w:hAnsi="Times New Roman" w:eastAsia="仿宋_GB2312"/>
          <w:bCs/>
          <w:color w:val="000000"/>
          <w:kern w:val="0"/>
          <w:sz w:val="32"/>
          <w:szCs w:val="32"/>
        </w:rPr>
      </w:pPr>
      <w:r>
        <w:rPr>
          <w:rFonts w:hint="eastAsia" w:ascii="楷体_GB2312" w:hAnsi="Times New Roman" w:eastAsia="楷体_GB2312"/>
          <w:bCs/>
          <w:color w:val="000000"/>
          <w:sz w:val="32"/>
          <w:szCs w:val="32"/>
        </w:rPr>
        <w:t>（</w:t>
      </w:r>
      <w:r>
        <w:rPr>
          <w:rFonts w:hint="eastAsia" w:ascii="楷体_GB2312" w:hAnsi="Times New Roman" w:eastAsia="楷体_GB2312"/>
          <w:bCs/>
          <w:color w:val="000000"/>
          <w:sz w:val="32"/>
          <w:szCs w:val="32"/>
          <w:lang w:eastAsia="zh-CN"/>
        </w:rPr>
        <w:t>三</w:t>
      </w:r>
      <w:r>
        <w:rPr>
          <w:rFonts w:hint="eastAsia" w:ascii="楷体_GB2312" w:hAnsi="Times New Roman" w:eastAsia="楷体_GB2312"/>
          <w:bCs/>
          <w:color w:val="000000"/>
          <w:sz w:val="32"/>
          <w:szCs w:val="32"/>
        </w:rPr>
        <w:t>）</w:t>
      </w:r>
      <w:r>
        <w:rPr>
          <w:rFonts w:hint="eastAsia" w:ascii="楷体_GB2312" w:hAnsi="Times New Roman" w:eastAsia="楷体_GB2312"/>
          <w:bCs/>
          <w:color w:val="000000"/>
          <w:sz w:val="32"/>
          <w:szCs w:val="32"/>
          <w:lang w:eastAsia="zh-CN"/>
        </w:rPr>
        <w:t>入库</w:t>
      </w:r>
      <w:r>
        <w:rPr>
          <w:rFonts w:hint="eastAsia" w:ascii="楷体_GB2312" w:hAnsi="Times New Roman" w:eastAsia="楷体_GB2312"/>
          <w:bCs/>
          <w:color w:val="000000"/>
          <w:sz w:val="32"/>
          <w:szCs w:val="32"/>
        </w:rPr>
        <w:t>公示。</w:t>
      </w:r>
      <w:r>
        <w:rPr>
          <w:rFonts w:ascii="Times New Roman" w:hAnsi="Times New Roman" w:eastAsia="仿宋_GB2312"/>
          <w:sz w:val="32"/>
          <w:szCs w:val="32"/>
        </w:rPr>
        <w:t>市</w:t>
      </w:r>
      <w:r>
        <w:rPr>
          <w:rFonts w:hint="eastAsia" w:ascii="Times New Roman" w:hAnsi="Times New Roman" w:eastAsia="仿宋_GB2312"/>
          <w:sz w:val="32"/>
          <w:szCs w:val="32"/>
          <w:lang w:eastAsia="zh-CN"/>
        </w:rPr>
        <w:t>工业和信息化局</w:t>
      </w:r>
      <w:r>
        <w:rPr>
          <w:rFonts w:ascii="Times New Roman" w:hAnsi="Times New Roman" w:eastAsia="仿宋_GB2312"/>
          <w:bCs/>
          <w:color w:val="000000"/>
          <w:kern w:val="0"/>
          <w:sz w:val="32"/>
          <w:szCs w:val="32"/>
        </w:rPr>
        <w:t>拟定项目资助计划，</w:t>
      </w:r>
      <w:r>
        <w:rPr>
          <w:rFonts w:hint="eastAsia" w:ascii="Times New Roman" w:hAnsi="Times New Roman" w:eastAsia="仿宋_GB2312"/>
          <w:bCs/>
          <w:color w:val="000000"/>
          <w:kern w:val="0"/>
          <w:sz w:val="32"/>
          <w:szCs w:val="32"/>
          <w:lang w:eastAsia="zh-CN"/>
        </w:rPr>
        <w:t>呈局务会议或党组会议审议，并通过“企莞家”平台</w:t>
      </w:r>
      <w:r>
        <w:rPr>
          <w:rFonts w:ascii="Times New Roman" w:hAnsi="Times New Roman" w:eastAsia="仿宋_GB2312"/>
          <w:bCs/>
          <w:color w:val="000000"/>
          <w:kern w:val="0"/>
          <w:sz w:val="32"/>
          <w:szCs w:val="32"/>
        </w:rPr>
        <w:t>向社会进行为期5天的公示。</w:t>
      </w:r>
    </w:p>
    <w:p>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bCs/>
          <w:color w:val="000000"/>
          <w:kern w:val="0"/>
          <w:sz w:val="32"/>
          <w:szCs w:val="32"/>
        </w:rPr>
      </w:pPr>
      <w:r>
        <w:rPr>
          <w:rFonts w:ascii="楷体_GB2312" w:hAnsi="Times New Roman" w:eastAsia="楷体_GB2312"/>
          <w:bCs/>
          <w:color w:val="000000"/>
          <w:sz w:val="32"/>
          <w:szCs w:val="32"/>
        </w:rPr>
        <w:t>（</w:t>
      </w:r>
      <w:r>
        <w:rPr>
          <w:rFonts w:hint="eastAsia" w:ascii="楷体_GB2312" w:hAnsi="Times New Roman" w:eastAsia="楷体_GB2312"/>
          <w:bCs/>
          <w:color w:val="000000"/>
          <w:sz w:val="32"/>
          <w:szCs w:val="32"/>
          <w:lang w:eastAsia="zh-CN"/>
        </w:rPr>
        <w:t>四</w:t>
      </w:r>
      <w:r>
        <w:rPr>
          <w:rFonts w:ascii="楷体_GB2312" w:hAnsi="Times New Roman" w:eastAsia="楷体_GB2312"/>
          <w:bCs/>
          <w:color w:val="000000"/>
          <w:sz w:val="32"/>
          <w:szCs w:val="32"/>
        </w:rPr>
        <w:t>）</w:t>
      </w:r>
      <w:r>
        <w:rPr>
          <w:rFonts w:hint="eastAsia" w:ascii="楷体_GB2312" w:hAnsi="Times New Roman" w:eastAsia="楷体_GB2312"/>
          <w:bCs/>
          <w:color w:val="000000"/>
          <w:sz w:val="32"/>
          <w:szCs w:val="32"/>
          <w:lang w:eastAsia="zh-CN"/>
        </w:rPr>
        <w:t>审批拨付</w:t>
      </w:r>
      <w:r>
        <w:rPr>
          <w:rFonts w:ascii="楷体_GB2312" w:hAnsi="Times New Roman" w:eastAsia="楷体_GB2312"/>
          <w:bCs/>
          <w:color w:val="000000"/>
          <w:sz w:val="32"/>
          <w:szCs w:val="32"/>
        </w:rPr>
        <w:t>。</w:t>
      </w:r>
      <w:r>
        <w:rPr>
          <w:rFonts w:ascii="Times New Roman" w:hAnsi="Times New Roman" w:eastAsia="仿宋_GB2312"/>
          <w:sz w:val="32"/>
          <w:szCs w:val="32"/>
        </w:rPr>
        <w:t>市</w:t>
      </w:r>
      <w:r>
        <w:rPr>
          <w:rFonts w:hint="eastAsia" w:ascii="Times New Roman" w:hAnsi="Times New Roman" w:eastAsia="仿宋_GB2312"/>
          <w:sz w:val="32"/>
          <w:szCs w:val="32"/>
          <w:lang w:eastAsia="zh-CN"/>
        </w:rPr>
        <w:t>工业和信息化局结合市级资金预算、项目入库数量等因素，拟定</w:t>
      </w:r>
      <w:r>
        <w:rPr>
          <w:rFonts w:ascii="Times New Roman" w:hAnsi="Times New Roman" w:eastAsia="仿宋_GB2312"/>
          <w:bCs/>
          <w:color w:val="000000"/>
          <w:kern w:val="0"/>
          <w:sz w:val="32"/>
          <w:szCs w:val="32"/>
        </w:rPr>
        <w:t>资助计划</w:t>
      </w:r>
      <w:r>
        <w:rPr>
          <w:rFonts w:hint="eastAsia" w:ascii="Times New Roman" w:hAnsi="Times New Roman" w:eastAsia="仿宋_GB2312"/>
          <w:bCs/>
          <w:color w:val="000000"/>
          <w:kern w:val="0"/>
          <w:sz w:val="32"/>
          <w:szCs w:val="32"/>
          <w:lang w:eastAsia="zh-CN"/>
        </w:rPr>
        <w:t>并</w:t>
      </w:r>
      <w:r>
        <w:rPr>
          <w:rFonts w:ascii="Times New Roman" w:hAnsi="Times New Roman" w:eastAsia="仿宋_GB2312"/>
          <w:bCs/>
          <w:color w:val="000000"/>
          <w:kern w:val="0"/>
          <w:sz w:val="32"/>
          <w:szCs w:val="32"/>
        </w:rPr>
        <w:t>上报市政府。</w:t>
      </w:r>
    </w:p>
    <w:p>
      <w:pPr>
        <w:pStyle w:val="6"/>
        <w:widowControl/>
        <w:spacing w:before="0" w:beforeAutospacing="0" w:after="0" w:afterAutospacing="0" w:line="560" w:lineRule="exact"/>
        <w:ind w:firstLine="640" w:firstLineChars="200"/>
        <w:rPr>
          <w:rFonts w:ascii="Times New Roman" w:hAnsi="Times New Roman" w:eastAsia="仿宋_GB2312"/>
          <w:color w:val="auto"/>
          <w:kern w:val="2"/>
          <w:sz w:val="32"/>
          <w:szCs w:val="32"/>
        </w:rPr>
      </w:pPr>
      <w:r>
        <w:rPr>
          <w:rFonts w:ascii="楷体_GB2312" w:hAnsi="Times New Roman" w:eastAsia="楷体_GB2312"/>
          <w:bCs/>
          <w:color w:val="000000"/>
          <w:sz w:val="32"/>
          <w:szCs w:val="32"/>
        </w:rPr>
        <w:t>（</w:t>
      </w:r>
      <w:r>
        <w:rPr>
          <w:rFonts w:hint="eastAsia" w:ascii="楷体_GB2312" w:hAnsi="Times New Roman" w:eastAsia="楷体_GB2312"/>
          <w:bCs/>
          <w:color w:val="000000"/>
          <w:sz w:val="32"/>
          <w:szCs w:val="32"/>
          <w:lang w:eastAsia="zh-CN"/>
        </w:rPr>
        <w:t>五</w:t>
      </w:r>
      <w:r>
        <w:rPr>
          <w:rFonts w:ascii="楷体_GB2312" w:hAnsi="Times New Roman" w:eastAsia="楷体_GB2312"/>
          <w:bCs/>
          <w:color w:val="000000"/>
          <w:sz w:val="32"/>
          <w:szCs w:val="32"/>
        </w:rPr>
        <w:t>）资金拨付。</w:t>
      </w:r>
      <w:r>
        <w:rPr>
          <w:rFonts w:ascii="Times New Roman" w:hAnsi="Times New Roman" w:eastAsia="仿宋_GB2312"/>
          <w:bCs/>
          <w:color w:val="000000"/>
          <w:kern w:val="0"/>
          <w:sz w:val="32"/>
          <w:szCs w:val="32"/>
        </w:rPr>
        <w:t>市政府批准资助计划后，</w:t>
      </w:r>
      <w:r>
        <w:rPr>
          <w:rFonts w:hint="eastAsia" w:ascii="Times New Roman" w:hAnsi="Times New Roman" w:eastAsia="仿宋_GB2312"/>
          <w:bCs/>
          <w:color w:val="000000"/>
          <w:kern w:val="0"/>
          <w:sz w:val="32"/>
          <w:szCs w:val="32"/>
          <w:lang w:eastAsia="zh-CN"/>
        </w:rPr>
        <w:t>企业</w:t>
      </w:r>
      <w:r>
        <w:rPr>
          <w:rFonts w:ascii="Times New Roman" w:hAnsi="Times New Roman" w:eastAsia="仿宋_GB2312"/>
          <w:color w:val="auto"/>
          <w:kern w:val="2"/>
          <w:sz w:val="32"/>
          <w:szCs w:val="32"/>
        </w:rPr>
        <w:t>在“企莞家”平台进行收款账号确认</w:t>
      </w:r>
      <w:r>
        <w:rPr>
          <w:rFonts w:hint="eastAsia" w:ascii="Times New Roman" w:hAnsi="Times New Roman" w:eastAsia="仿宋_GB2312"/>
          <w:color w:val="auto"/>
          <w:kern w:val="2"/>
          <w:sz w:val="32"/>
          <w:szCs w:val="32"/>
          <w:lang w:eastAsia="zh-CN"/>
        </w:rPr>
        <w:t>，</w:t>
      </w:r>
      <w:r>
        <w:rPr>
          <w:rFonts w:ascii="Times New Roman" w:hAnsi="Times New Roman" w:eastAsia="仿宋_GB2312"/>
          <w:sz w:val="32"/>
          <w:szCs w:val="32"/>
        </w:rPr>
        <w:t>市</w:t>
      </w:r>
      <w:r>
        <w:rPr>
          <w:rFonts w:hint="eastAsia" w:ascii="Times New Roman" w:hAnsi="Times New Roman" w:eastAsia="仿宋_GB2312"/>
          <w:sz w:val="32"/>
          <w:szCs w:val="32"/>
          <w:lang w:eastAsia="zh-CN"/>
        </w:rPr>
        <w:t>工业和信息化局</w:t>
      </w:r>
      <w:r>
        <w:rPr>
          <w:rFonts w:ascii="Times New Roman" w:hAnsi="Times New Roman" w:eastAsia="仿宋_GB2312"/>
          <w:bCs/>
          <w:color w:val="000000"/>
          <w:kern w:val="0"/>
          <w:sz w:val="32"/>
          <w:szCs w:val="32"/>
        </w:rPr>
        <w:t>按照工作流程办理资金拨付</w:t>
      </w:r>
    </w:p>
    <w:p>
      <w:pPr>
        <w:pStyle w:val="6"/>
        <w:widowControl/>
        <w:spacing w:before="0" w:beforeAutospacing="0" w:after="0" w:afterAutospacing="0" w:line="560" w:lineRule="exact"/>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 xml:space="preserve">    </w:t>
      </w:r>
      <w:r>
        <w:rPr>
          <w:rFonts w:hint="eastAsia" w:ascii="Times New Roman" w:hAnsi="Times New Roman" w:eastAsia="黑体"/>
          <w:bCs/>
          <w:color w:val="auto"/>
          <w:sz w:val="32"/>
          <w:szCs w:val="32"/>
        </w:rPr>
        <w:t xml:space="preserve">  </w:t>
      </w:r>
      <w:r>
        <w:rPr>
          <w:rFonts w:ascii="Times New Roman" w:hAnsi="Times New Roman" w:eastAsia="黑体"/>
          <w:color w:val="auto"/>
          <w:sz w:val="32"/>
          <w:szCs w:val="32"/>
        </w:rPr>
        <w:t>第</w:t>
      </w:r>
      <w:r>
        <w:rPr>
          <w:rFonts w:hint="eastAsia" w:ascii="Times New Roman" w:hAnsi="Times New Roman" w:eastAsia="黑体"/>
          <w:color w:val="auto"/>
          <w:sz w:val="32"/>
          <w:szCs w:val="32"/>
        </w:rPr>
        <w:t>七</w:t>
      </w:r>
      <w:r>
        <w:rPr>
          <w:rFonts w:ascii="Times New Roman" w:hAnsi="Times New Roman" w:eastAsia="黑体"/>
          <w:color w:val="auto"/>
          <w:sz w:val="32"/>
          <w:szCs w:val="32"/>
        </w:rPr>
        <w:t xml:space="preserve">条  </w:t>
      </w:r>
      <w:r>
        <w:rPr>
          <w:rFonts w:hint="eastAsia" w:ascii="Times New Roman" w:hAnsi="Times New Roman" w:eastAsia="黑体"/>
          <w:bCs/>
          <w:color w:val="auto"/>
          <w:sz w:val="32"/>
          <w:szCs w:val="32"/>
        </w:rPr>
        <w:t>监督管理</w:t>
      </w:r>
    </w:p>
    <w:p>
      <w:pPr>
        <w:pStyle w:val="6"/>
        <w:widowControl/>
        <w:spacing w:before="0" w:beforeAutospacing="0" w:after="0" w:afterAutospacing="0" w:line="560" w:lineRule="exact"/>
        <w:ind w:firstLine="640"/>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受奖励单位要</w:t>
      </w:r>
      <w:r>
        <w:rPr>
          <w:rFonts w:hint="eastAsia" w:ascii="Times New Roman" w:hAnsi="Times New Roman" w:eastAsia="仿宋_GB2312"/>
          <w:color w:val="auto"/>
          <w:kern w:val="2"/>
          <w:sz w:val="32"/>
          <w:szCs w:val="32"/>
        </w:rPr>
        <w:t>根据通知和文件要求据实上报符合条件的骨干人员及其子女的基本情况，如弄虚作假，一旦核实，后果自负，</w:t>
      </w:r>
      <w:r>
        <w:rPr>
          <w:rFonts w:ascii="Times New Roman" w:hAnsi="Times New Roman" w:eastAsia="仿宋_GB2312"/>
          <w:color w:val="auto"/>
          <w:kern w:val="2"/>
          <w:sz w:val="32"/>
          <w:szCs w:val="32"/>
        </w:rPr>
        <w:t>并自觉接受工信、财政、审计、监察等部门的监督检查。</w:t>
      </w:r>
      <w:r>
        <w:rPr>
          <w:rFonts w:hint="eastAsia" w:ascii="Times New Roman" w:hAnsi="Times New Roman" w:eastAsia="仿宋_GB2312"/>
          <w:color w:val="auto"/>
          <w:kern w:val="2"/>
          <w:sz w:val="32"/>
          <w:szCs w:val="32"/>
        </w:rPr>
        <w:t>有关部门在履行职能过程中，需要受资助单位提供有关数据或信息的，受资助单位要积极配合，及时提供完整、真实的数据信息。</w:t>
      </w:r>
    </w:p>
    <w:p>
      <w:pPr>
        <w:pStyle w:val="6"/>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黑体"/>
          <w:color w:val="auto"/>
          <w:kern w:val="2"/>
          <w:sz w:val="32"/>
          <w:szCs w:val="32"/>
        </w:rPr>
        <w:t>第八条</w:t>
      </w:r>
      <w:r>
        <w:rPr>
          <w:rFonts w:hint="eastAsia" w:ascii="Times New Roman" w:hAnsi="Times New Roman" w:eastAsia="仿宋_GB2312"/>
          <w:color w:val="auto"/>
          <w:kern w:val="2"/>
          <w:sz w:val="32"/>
          <w:szCs w:val="32"/>
        </w:rPr>
        <w:t xml:space="preserve">  </w:t>
      </w:r>
      <w:r>
        <w:rPr>
          <w:rFonts w:hint="eastAsia" w:eastAsia="仿宋_GB2312"/>
          <w:color w:val="auto"/>
          <w:sz w:val="32"/>
          <w:szCs w:val="32"/>
        </w:rPr>
        <w:t>本细则</w:t>
      </w:r>
      <w:r>
        <w:rPr>
          <w:rFonts w:eastAsia="仿宋_GB2312"/>
          <w:color w:val="auto"/>
          <w:sz w:val="32"/>
          <w:szCs w:val="32"/>
        </w:rPr>
        <w:t>由</w:t>
      </w:r>
      <w:r>
        <w:rPr>
          <w:rFonts w:hint="eastAsia" w:eastAsia="仿宋_GB2312"/>
          <w:color w:val="auto"/>
          <w:sz w:val="32"/>
          <w:szCs w:val="32"/>
          <w:lang w:eastAsia="zh-CN"/>
        </w:rPr>
        <w:t>市工业和信息化局</w:t>
      </w:r>
      <w:r>
        <w:rPr>
          <w:rFonts w:eastAsia="仿宋_GB2312"/>
          <w:color w:val="auto"/>
          <w:sz w:val="32"/>
          <w:szCs w:val="32"/>
        </w:rPr>
        <w:t>负责修订解释。</w:t>
      </w:r>
      <w:r>
        <w:rPr>
          <w:rFonts w:hint="eastAsia" w:eastAsia="仿宋_GB2312"/>
          <w:color w:val="auto"/>
          <w:sz w:val="32"/>
          <w:szCs w:val="32"/>
        </w:rPr>
        <w:t>自印发之日起实施，有效期至</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年12月31日，实施过程中可根据实施情况依法评估修订。</w:t>
      </w:r>
    </w:p>
    <w:p>
      <w:pPr>
        <w:rPr>
          <w:color w:val="auto"/>
        </w:rPr>
      </w:pPr>
    </w:p>
    <w:p>
      <w:pPr>
        <w:ind w:left="1598" w:leftChars="304" w:hanging="960" w:hangingChars="300"/>
        <w:rPr>
          <w:rFonts w:ascii="Times New Roman" w:hAnsi="Times New Roman" w:eastAsia="仿宋_GB2312"/>
          <w:color w:val="auto"/>
          <w:sz w:val="32"/>
          <w:szCs w:val="32"/>
        </w:rPr>
      </w:pPr>
    </w:p>
    <w:sectPr>
      <w:headerReference r:id="rId3" w:type="default"/>
      <w:footerReference r:id="rId4" w:type="default"/>
      <w:pgSz w:w="11906" w:h="16838"/>
      <w:pgMar w:top="1701" w:right="1531" w:bottom="1587" w:left="1531" w:header="851" w:footer="992"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Ansi="宋体"/>
        <w:sz w:val="28"/>
        <w:szCs w:val="28"/>
      </w:rPr>
      <w:t>一</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hAnsi="宋体"/>
        <w:sz w:val="28"/>
        <w:szCs w:val="28"/>
      </w:rPr>
      <w:t>一</w:t>
    </w:r>
  </w:p>
  <w:p>
    <w:pPr>
      <w:pStyle w:val="4"/>
      <w:ind w:right="360" w:firstLine="360"/>
      <w:rPr>
        <w:sz w:val="28"/>
        <w:szCs w:val="28"/>
      </w:rPr>
    </w:pPr>
  </w:p>
  <w:p>
    <w:pPr>
      <w:pStyle w:val="4"/>
      <w:ind w:right="360" w:firstLine="360"/>
      <w:rPr>
        <w:sz w:val="28"/>
        <w:szCs w:val="28"/>
      </w:rPr>
    </w:pPr>
  </w:p>
  <w:p>
    <w:pPr>
      <w:pStyle w:val="4"/>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DRhMThhOGY1MTNjNWZmMjU3YzRmZmY3OTljM2QifQ=="/>
  </w:docVars>
  <w:rsids>
    <w:rsidRoot w:val="00172A27"/>
    <w:rsid w:val="00037559"/>
    <w:rsid w:val="0010170A"/>
    <w:rsid w:val="0038015E"/>
    <w:rsid w:val="00551742"/>
    <w:rsid w:val="00563982"/>
    <w:rsid w:val="00675C55"/>
    <w:rsid w:val="00681EFE"/>
    <w:rsid w:val="006E4727"/>
    <w:rsid w:val="0094418F"/>
    <w:rsid w:val="009A5352"/>
    <w:rsid w:val="009A6244"/>
    <w:rsid w:val="00B26AA4"/>
    <w:rsid w:val="00B42965"/>
    <w:rsid w:val="00D109EB"/>
    <w:rsid w:val="00D65495"/>
    <w:rsid w:val="00D660AF"/>
    <w:rsid w:val="00E95F43"/>
    <w:rsid w:val="00ED16B0"/>
    <w:rsid w:val="01795E4F"/>
    <w:rsid w:val="0BD248FF"/>
    <w:rsid w:val="0C0D3A32"/>
    <w:rsid w:val="1EBD50BF"/>
    <w:rsid w:val="256C4240"/>
    <w:rsid w:val="2976430D"/>
    <w:rsid w:val="2A3B79BC"/>
    <w:rsid w:val="337C47C4"/>
    <w:rsid w:val="339537C5"/>
    <w:rsid w:val="352B5265"/>
    <w:rsid w:val="3669034E"/>
    <w:rsid w:val="38BF0120"/>
    <w:rsid w:val="390C1D3D"/>
    <w:rsid w:val="3B852106"/>
    <w:rsid w:val="3D4B027D"/>
    <w:rsid w:val="3E913D6B"/>
    <w:rsid w:val="46486467"/>
    <w:rsid w:val="48643FF6"/>
    <w:rsid w:val="4C707108"/>
    <w:rsid w:val="534327B1"/>
    <w:rsid w:val="57EF0F50"/>
    <w:rsid w:val="66073E34"/>
    <w:rsid w:val="6C653C4C"/>
    <w:rsid w:val="6FEC4E01"/>
    <w:rsid w:val="73E712BA"/>
    <w:rsid w:val="78435C03"/>
    <w:rsid w:val="7D42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600" w:lineRule="atLeast"/>
      <w:ind w:firstLine="641"/>
    </w:pPr>
    <w:rPr>
      <w:rFonts w:ascii="Times New Roman" w:hAnsi="Times New Roman" w:eastAsia="仿宋_GB2312"/>
      <w:sz w:val="32"/>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批注框文本 Char"/>
    <w:basedOn w:val="8"/>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302</Words>
  <Characters>1723</Characters>
  <Lines>14</Lines>
  <Paragraphs>4</Paragraphs>
  <TotalTime>2</TotalTime>
  <ScaleCrop>false</ScaleCrop>
  <LinksUpToDate>false</LinksUpToDate>
  <CharactersWithSpaces>2021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Miumiu</dc:creator>
  <cp:lastModifiedBy>Jenny (耶稣)</cp:lastModifiedBy>
  <dcterms:modified xsi:type="dcterms:W3CDTF">2024-12-04T02:07:37Z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2BBD94523594419D83E4C3928828A1A9_11</vt:lpwstr>
  </property>
</Properties>
</file>