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9D408">
      <w:pPr>
        <w:pStyle w:val="30"/>
        <w:jc w:val="both"/>
        <w:rPr>
          <w:rFonts w:ascii="黑体" w:hAnsi="黑体" w:eastAsia="黑体"/>
          <w:sz w:val="32"/>
        </w:rPr>
      </w:pPr>
      <w:bookmarkStart w:id="1" w:name="_GoBack"/>
      <w:r>
        <w:rPr>
          <w:rFonts w:hint="eastAsia" w:ascii="黑体" w:hAnsi="黑体" w:eastAsia="黑体"/>
          <w:sz w:val="32"/>
        </w:rPr>
        <w:t>附件</w:t>
      </w:r>
    </w:p>
    <w:p w14:paraId="54A7F35D">
      <w:pPr>
        <w:pStyle w:val="30"/>
        <w:jc w:val="both"/>
        <w:rPr>
          <w:rFonts w:ascii="黑体" w:hAnsi="黑体" w:eastAsia="黑体"/>
          <w:sz w:val="32"/>
        </w:rPr>
      </w:pPr>
    </w:p>
    <w:p w14:paraId="4A3017C8">
      <w:pPr>
        <w:pStyle w:val="30"/>
      </w:pPr>
      <w:r>
        <w:rPr>
          <w:rFonts w:hint="eastAsia"/>
        </w:rPr>
        <w:t>2024年东莞市中小企业数字化转型城市试点专项资金中小企业数字化改造项目</w:t>
      </w:r>
    </w:p>
    <w:p w14:paraId="320D1F7C">
      <w:pPr>
        <w:pStyle w:val="30"/>
      </w:pPr>
      <w:r>
        <w:rPr>
          <w:rFonts w:hint="eastAsia"/>
        </w:rPr>
        <w:t>（纺织服装鞋帽、食品饮料行业）申报指南</w:t>
      </w:r>
    </w:p>
    <w:p w14:paraId="3C7DAAFE">
      <w:pPr>
        <w:ind w:firstLine="630"/>
      </w:pPr>
    </w:p>
    <w:p w14:paraId="3C15AF09">
      <w:pPr>
        <w:ind w:firstLine="630"/>
      </w:pPr>
      <w:r>
        <w:rPr>
          <w:rFonts w:hint="eastAsia"/>
        </w:rPr>
        <w:t>围绕我市中小企业数字化转型城市试点的工作部署，按照“成熟一批，公布一批，推动改造一批”的工作思路，推动我市纺织服装鞋帽、食品饮料行业中小企业数字化改造，进一步提升中小企业数字化水平。根据《东莞市中小企业数字化转型城市试点专项资金管理办法》（东工信〔2024〕71号）等文件，特制定本申报指南。</w:t>
      </w:r>
    </w:p>
    <w:p w14:paraId="26E8C12A">
      <w:pPr>
        <w:pStyle w:val="2"/>
        <w:ind w:firstLine="630"/>
      </w:pPr>
      <w:r>
        <w:rPr>
          <w:rFonts w:hint="eastAsia"/>
        </w:rPr>
        <w:t>一、申报条件</w:t>
      </w:r>
    </w:p>
    <w:p w14:paraId="4A473A61">
      <w:pPr>
        <w:ind w:firstLine="630"/>
      </w:pPr>
      <w:r>
        <w:rPr>
          <w:rFonts w:hint="eastAsia"/>
        </w:rPr>
        <w:t>（一）申报企业须为在我市行政区域内注册，具有独立法人资格，且纳入东莞市中小企业数字化转型城市试点（纺织服装鞋帽、食品饮料行业）拟改造企业名单的中小企业，名单以市工业和信息化局最新公布为准。</w:t>
      </w:r>
    </w:p>
    <w:p w14:paraId="29977813">
      <w:pPr>
        <w:ind w:firstLine="630"/>
      </w:pPr>
      <w:r>
        <w:rPr>
          <w:rFonts w:hint="eastAsia"/>
        </w:rPr>
        <w:t>（二）按照有关文件规定，申报企业不属于市级财政专项资金不予资助范围。</w:t>
      </w:r>
    </w:p>
    <w:p w14:paraId="32E64CC4">
      <w:pPr>
        <w:ind w:firstLine="630"/>
      </w:pPr>
      <w:r>
        <w:rPr>
          <w:rFonts w:hint="eastAsia"/>
        </w:rPr>
        <w:t>（三）申报项目须在2024年1月1日（含）后实施，且在项目申报前完工。项目投入核算的合同签订日期、发票（报关单）开具日期、银行付款（银行承兑汇票）日期必须在项目实施期限内。</w:t>
      </w:r>
    </w:p>
    <w:p w14:paraId="481BC934">
      <w:pPr>
        <w:ind w:firstLine="630"/>
      </w:pPr>
      <w:r>
        <w:rPr>
          <w:rFonts w:hint="eastAsia"/>
        </w:rPr>
        <w:t>（四）申报项目按照《关于开展纺织服装鞋帽和食品饮料行业中小企业数字化改造项目培育入库申报的通知》要求，在“企莞家-东莞</w:t>
      </w:r>
      <w:r>
        <w:t>市</w:t>
      </w:r>
      <w:r>
        <w:rPr>
          <w:rFonts w:hint="eastAsia"/>
        </w:rPr>
        <w:t>中小企业数字化转型公共服务平台”网站（</w:t>
      </w:r>
      <w:r>
        <w:t>https://www.dgszpt.com/</w:t>
      </w:r>
      <w:r>
        <w:rPr>
          <w:rFonts w:hint="eastAsia"/>
        </w:rPr>
        <w:t>）上进行入库。</w:t>
      </w:r>
    </w:p>
    <w:p w14:paraId="6D02AD19">
      <w:pPr>
        <w:ind w:firstLine="630"/>
      </w:pPr>
      <w:r>
        <w:rPr>
          <w:rFonts w:hint="eastAsia"/>
        </w:rPr>
        <w:t>（五）申报企业可应用多个数字化产品和服务，分批申请数字化改造项目入库，项目都实施完成后，将多个项目合并在一起申报资金。</w:t>
      </w:r>
    </w:p>
    <w:p w14:paraId="1AB796CA">
      <w:pPr>
        <w:ind w:firstLine="630"/>
      </w:pPr>
      <w:r>
        <w:rPr>
          <w:rFonts w:hint="eastAsia"/>
        </w:rPr>
        <w:t>（六）</w:t>
      </w:r>
      <w:bookmarkStart w:id="0" w:name="_Hlk180770051"/>
      <w:r>
        <w:rPr>
          <w:rFonts w:hint="eastAsia"/>
        </w:rPr>
        <w:t>申报企业须参与市工业和信息化局组织的中小企业数字化水平评测，并且数字化水平达到二级及以上。</w:t>
      </w:r>
      <w:bookmarkEnd w:id="0"/>
    </w:p>
    <w:p w14:paraId="10207CDB">
      <w:pPr>
        <w:pStyle w:val="2"/>
        <w:ind w:firstLine="630"/>
      </w:pPr>
      <w:r>
        <w:rPr>
          <w:rFonts w:hint="eastAsia"/>
        </w:rPr>
        <w:t>二、申报材料</w:t>
      </w:r>
    </w:p>
    <w:p w14:paraId="49629D3F">
      <w:pPr>
        <w:ind w:firstLine="630"/>
      </w:pPr>
      <w:r>
        <w:rPr>
          <w:rFonts w:hint="eastAsia"/>
        </w:rPr>
        <w:t>（一）在线填写项目申报表（详见附件1）；</w:t>
      </w:r>
    </w:p>
    <w:p w14:paraId="673762DC">
      <w:pPr>
        <w:ind w:firstLine="630"/>
      </w:pPr>
      <w:r>
        <w:rPr>
          <w:rFonts w:hint="eastAsia"/>
        </w:rPr>
        <w:t>（二）项目投入明细表（详见附件2，在线需提供WORD版）；</w:t>
      </w:r>
    </w:p>
    <w:p w14:paraId="52D87E1E">
      <w:pPr>
        <w:ind w:firstLine="630"/>
      </w:pPr>
      <w:r>
        <w:rPr>
          <w:rFonts w:hint="eastAsia"/>
        </w:rPr>
        <w:t>（三）与项目投入明细表对应的合同、发票（报关单）以及银行付款凭证（银行承兑汇票）的复印件；</w:t>
      </w:r>
    </w:p>
    <w:p w14:paraId="566B29D3">
      <w:pPr>
        <w:ind w:firstLine="630"/>
      </w:pPr>
      <w:r>
        <w:rPr>
          <w:rFonts w:hint="eastAsia"/>
        </w:rPr>
        <w:t>（四）项目完工确认材料（例如：验收单、系统运行截图、应用现场照片等）；</w:t>
      </w:r>
    </w:p>
    <w:p w14:paraId="68307731">
      <w:pPr>
        <w:pStyle w:val="8"/>
        <w:ind w:firstLine="630"/>
        <w:rPr>
          <w:highlight w:val="none"/>
        </w:rPr>
      </w:pPr>
      <w:r>
        <w:rPr>
          <w:rFonts w:hint="eastAsia"/>
          <w:highlight w:val="none"/>
        </w:rPr>
        <w:t>（五）</w:t>
      </w:r>
      <w:r>
        <w:rPr>
          <w:rFonts w:hint="eastAsia"/>
        </w:rPr>
        <w:t>中小企业数字化水平评测报告</w:t>
      </w:r>
    </w:p>
    <w:p w14:paraId="502DDB4D">
      <w:pPr>
        <w:ind w:firstLine="630"/>
      </w:pPr>
      <w:r>
        <w:rPr>
          <w:rFonts w:hint="eastAsia"/>
        </w:rPr>
        <w:t>（六）申报企业营业执照、法人代表身份证以及银行开户许可证的复印件；</w:t>
      </w:r>
    </w:p>
    <w:p w14:paraId="6172AF8F">
      <w:pPr>
        <w:ind w:firstLine="630"/>
      </w:pPr>
      <w:r>
        <w:rPr>
          <w:rFonts w:hint="eastAsia"/>
        </w:rPr>
        <w:t>（七）与项目相关的其它证明材料。</w:t>
      </w:r>
    </w:p>
    <w:p w14:paraId="07C5FE88">
      <w:pPr>
        <w:ind w:firstLine="630"/>
      </w:pPr>
      <w:r>
        <w:rPr>
          <w:rFonts w:hint="eastAsia"/>
          <w:lang w:bidi="ar"/>
        </w:rPr>
        <w:t>以上申报材料通过形式审查后，</w:t>
      </w:r>
      <w:r>
        <w:rPr>
          <w:rFonts w:hint="eastAsia" w:cstheme="minorBidi"/>
          <w:sz w:val="32"/>
          <w:szCs w:val="32"/>
          <w:lang w:bidi="ar"/>
        </w:rPr>
        <w:t>申报企业</w:t>
      </w:r>
      <w:r>
        <w:rPr>
          <w:rFonts w:hint="eastAsia"/>
          <w:lang w:bidi="ar"/>
        </w:rPr>
        <w:t>在</w:t>
      </w:r>
      <w:r>
        <w:rPr>
          <w:rFonts w:hint="eastAsia" w:cstheme="minorBidi"/>
          <w:sz w:val="32"/>
          <w:szCs w:val="32"/>
          <w:lang w:bidi="ar"/>
        </w:rPr>
        <w:t>“企莞家</w:t>
      </w:r>
      <w:r>
        <w:rPr>
          <w:rFonts w:cstheme="minorBidi"/>
          <w:sz w:val="32"/>
          <w:szCs w:val="32"/>
          <w:lang w:bidi="ar"/>
        </w:rPr>
        <w:t>-</w:t>
      </w:r>
      <w:r>
        <w:rPr>
          <w:rFonts w:hint="eastAsia" w:cstheme="minorBidi"/>
          <w:sz w:val="32"/>
          <w:szCs w:val="32"/>
          <w:lang w:bidi="ar"/>
        </w:rPr>
        <w:t>中小企业数字化转型公共服务平台”导出资料，按以上材料顺序排版，使用</w:t>
      </w:r>
      <w:r>
        <w:rPr>
          <w:rFonts w:cstheme="minorBidi"/>
          <w:sz w:val="32"/>
          <w:szCs w:val="32"/>
          <w:lang w:bidi="ar"/>
        </w:rPr>
        <w:t>A4</w:t>
      </w:r>
      <w:r>
        <w:rPr>
          <w:rFonts w:hint="eastAsia" w:cstheme="minorBidi"/>
          <w:sz w:val="32"/>
          <w:szCs w:val="32"/>
          <w:lang w:bidi="ar"/>
        </w:rPr>
        <w:t>规格纸双面打印，胶装成册，</w:t>
      </w:r>
      <w:r>
        <w:rPr>
          <w:rFonts w:hint="eastAsia"/>
        </w:rPr>
        <w:t>书脊标注“镇街+企业名称”，目录应列明所提交的各项文件材料及页码，并在材料侧面加盖骑缝公章，一式</w:t>
      </w:r>
      <w:r>
        <w:t>5</w:t>
      </w:r>
      <w:r>
        <w:rPr>
          <w:rFonts w:hint="eastAsia"/>
        </w:rPr>
        <w:t>份。</w:t>
      </w:r>
      <w:r>
        <w:rPr>
          <w:rFonts w:hint="eastAsia" w:cstheme="minorBidi"/>
          <w:sz w:val="32"/>
          <w:szCs w:val="32"/>
          <w:lang w:bidi="ar"/>
        </w:rPr>
        <w:t>申报材料务必完整、字迹清晰，盖企业公章并加盖骑缝章后送镇街（园区）工信部门复核盖章（加盖骑缝章）</w:t>
      </w:r>
      <w:r>
        <w:rPr>
          <w:rFonts w:hint="eastAsia"/>
          <w:lang w:bidi="ar"/>
        </w:rPr>
        <w:t>。</w:t>
      </w:r>
    </w:p>
    <w:p w14:paraId="51C26B5E">
      <w:pPr>
        <w:pStyle w:val="2"/>
        <w:ind w:firstLine="630"/>
      </w:pPr>
      <w:r>
        <w:rPr>
          <w:rFonts w:hint="eastAsia"/>
        </w:rPr>
        <w:t>三、资助标准</w:t>
      </w:r>
    </w:p>
    <w:p w14:paraId="2A9DC553">
      <w:pPr>
        <w:ind w:firstLine="630"/>
      </w:pPr>
      <w:r>
        <w:rPr>
          <w:rFonts w:hint="eastAsia"/>
        </w:rPr>
        <w:t>市工业和信息化局对公示无异议或经调查后异议不成立的项目，根据《东莞市中小企业数字化转型城市试点专项资金管理办法》，单个项目获得专项资金扶持累计不超过项目实际投入金额的 30%，最高不超过 20 万元。</w:t>
      </w:r>
    </w:p>
    <w:p w14:paraId="01A7C245">
      <w:pPr>
        <w:ind w:firstLine="630"/>
      </w:pPr>
      <w:r>
        <w:rPr>
          <w:rFonts w:hint="eastAsia"/>
        </w:rPr>
        <w:t>市工业和信息化局根据年度预算规模和实际申报数量，可对资助比例及最高资助标准进行适当调整，专项资金用完即止。</w:t>
      </w:r>
    </w:p>
    <w:p w14:paraId="1BD47EA0">
      <w:pPr>
        <w:pStyle w:val="2"/>
        <w:ind w:firstLine="630"/>
      </w:pPr>
      <w:r>
        <w:rPr>
          <w:rFonts w:hint="eastAsia"/>
        </w:rPr>
        <w:t>四、工作流程</w:t>
      </w:r>
    </w:p>
    <w:p w14:paraId="420A8463">
      <w:pPr>
        <w:ind w:firstLine="630"/>
      </w:pPr>
      <w:r>
        <w:rPr>
          <w:rFonts w:hint="eastAsia"/>
        </w:rPr>
        <w:t>（一）组织申报</w:t>
      </w:r>
    </w:p>
    <w:p w14:paraId="28859B27">
      <w:pPr>
        <w:ind w:firstLine="630"/>
      </w:pPr>
      <w:r>
        <w:rPr>
          <w:rFonts w:hint="eastAsia"/>
        </w:rPr>
        <w:t>市工信局印发申报通知和申报指南，符合条件的企业按要求登陆“企莞家-东莞</w:t>
      </w:r>
      <w:r>
        <w:t>市</w:t>
      </w:r>
      <w:r>
        <w:rPr>
          <w:rFonts w:hint="eastAsia"/>
        </w:rPr>
        <w:t>中小企业数字化转型公共服务平台”网站（</w:t>
      </w:r>
      <w:r>
        <w:t>https://www.dgszpt.com/</w:t>
      </w:r>
      <w:r>
        <w:rPr>
          <w:rFonts w:hint="eastAsia"/>
        </w:rPr>
        <w:t>），提交申报材料（详见第二条“申报材料”）。</w:t>
      </w:r>
    </w:p>
    <w:p w14:paraId="289DE669">
      <w:pPr>
        <w:ind w:firstLine="630"/>
      </w:pPr>
      <w:r>
        <w:rPr>
          <w:rFonts w:hint="eastAsia"/>
        </w:rPr>
        <w:t>（二）项目审核</w:t>
      </w:r>
    </w:p>
    <w:p w14:paraId="4C9D094F">
      <w:pPr>
        <w:widowControl/>
        <w:spacing w:line="240" w:lineRule="auto"/>
        <w:ind w:firstLine="630" w:firstLineChars="0"/>
        <w:jc w:val="left"/>
        <w:rPr>
          <w:rFonts w:cstheme="minorBidi"/>
          <w:sz w:val="32"/>
          <w:szCs w:val="32"/>
          <w:lang w:bidi="ar"/>
        </w:rPr>
      </w:pPr>
      <w:r>
        <w:t>1.</w:t>
      </w:r>
      <w:r>
        <w:rPr>
          <w:rFonts w:hint="eastAsia" w:cstheme="minorBidi"/>
          <w:sz w:val="32"/>
          <w:szCs w:val="32"/>
          <w:lang w:bidi="ar"/>
        </w:rPr>
        <w:t>市工业和信息化局对企业系统提交资料进行形式审查，并核查申报企业是否存在不予资助的情形</w:t>
      </w:r>
      <w:r>
        <w:rPr>
          <w:rFonts w:cstheme="minorBidi"/>
          <w:sz w:val="32"/>
          <w:szCs w:val="32"/>
          <w:lang w:bidi="ar"/>
        </w:rPr>
        <w:t>;</w:t>
      </w:r>
    </w:p>
    <w:p w14:paraId="3F7AFA42">
      <w:pPr>
        <w:widowControl/>
        <w:spacing w:line="240" w:lineRule="auto"/>
        <w:ind w:firstLine="630" w:firstLineChars="0"/>
        <w:jc w:val="left"/>
        <w:rPr>
          <w:rFonts w:cstheme="minorBidi"/>
          <w:sz w:val="32"/>
          <w:szCs w:val="32"/>
          <w:lang w:bidi="ar"/>
        </w:rPr>
      </w:pPr>
      <w:r>
        <w:rPr>
          <w:rFonts w:cstheme="minorBidi"/>
          <w:sz w:val="32"/>
          <w:szCs w:val="32"/>
          <w:lang w:bidi="ar"/>
        </w:rPr>
        <w:t>2.</w:t>
      </w:r>
      <w:r>
        <w:rPr>
          <w:rFonts w:hint="eastAsia" w:cstheme="minorBidi"/>
          <w:sz w:val="32"/>
          <w:szCs w:val="32"/>
          <w:lang w:bidi="ar"/>
        </w:rPr>
        <w:t>组织专家或委托第三方机构对申报项目进行审核（若有需要则进行现场评审），确认项目实施情况以及核定项目投入情况，开展财务审计，核定项目投入；</w:t>
      </w:r>
    </w:p>
    <w:p w14:paraId="74564AAE">
      <w:pPr>
        <w:ind w:firstLine="630"/>
      </w:pPr>
      <w:r>
        <w:rPr>
          <w:rFonts w:hint="eastAsia"/>
        </w:rPr>
        <w:t>（三）社会公示</w:t>
      </w:r>
    </w:p>
    <w:p w14:paraId="2D7BF4BE">
      <w:pPr>
        <w:widowControl/>
        <w:spacing w:line="240" w:lineRule="auto"/>
        <w:ind w:firstLine="630" w:firstLineChars="0"/>
        <w:jc w:val="left"/>
      </w:pPr>
      <w:r>
        <w:rPr>
          <w:rFonts w:hint="eastAsia" w:cstheme="minorBidi"/>
          <w:sz w:val="32"/>
          <w:szCs w:val="32"/>
          <w:lang w:bidi="ar"/>
        </w:rPr>
        <w:t>拟资助项目名单经局务会议（局党组会议）审议后，</w:t>
      </w:r>
      <w:r>
        <w:rPr>
          <w:rFonts w:hint="eastAsia"/>
        </w:rPr>
        <w:t>市</w:t>
      </w:r>
      <w:r>
        <w:rPr>
          <w:rFonts w:hint="eastAsia"/>
          <w:lang w:bidi="ar"/>
        </w:rPr>
        <w:t>工业和信息化局</w:t>
      </w:r>
      <w:r>
        <w:rPr>
          <w:rFonts w:hint="eastAsia"/>
        </w:rPr>
        <w:t>将分批在“企莞家”网站向社会公示通过审核的结果。</w:t>
      </w:r>
    </w:p>
    <w:p w14:paraId="0768D67F">
      <w:pPr>
        <w:ind w:firstLine="630"/>
      </w:pPr>
      <w:r>
        <w:rPr>
          <w:rFonts w:hint="eastAsia"/>
        </w:rPr>
        <w:t>（四）审批拨付</w:t>
      </w:r>
    </w:p>
    <w:p w14:paraId="0E8FD8A1">
      <w:pPr>
        <w:adjustRightInd w:val="0"/>
        <w:spacing w:line="600" w:lineRule="exact"/>
        <w:ind w:firstLine="630"/>
      </w:pPr>
      <w:r>
        <w:rPr>
          <w:rFonts w:hint="eastAsia" w:cs="仿宋_GB2312"/>
          <w:lang w:bidi="ar"/>
        </w:rPr>
        <w:t>市工业和信息化局拟定资金使用计划，上报市政府，经批准后，</w:t>
      </w:r>
      <w:r>
        <w:rPr>
          <w:rFonts w:hint="eastAsia" w:cs="仿宋_GB2312"/>
          <w:bCs/>
          <w:lang w:bidi="ar"/>
        </w:rPr>
        <w:t>将资金拨付企业。</w:t>
      </w:r>
    </w:p>
    <w:p w14:paraId="3F765E52">
      <w:pPr>
        <w:pStyle w:val="2"/>
        <w:ind w:firstLine="630"/>
      </w:pPr>
      <w:r>
        <w:rPr>
          <w:rFonts w:hint="eastAsia"/>
        </w:rPr>
        <w:t>五、责任与义务</w:t>
      </w:r>
    </w:p>
    <w:p w14:paraId="0977E406">
      <w:pPr>
        <w:adjustRightInd w:val="0"/>
        <w:spacing w:line="560" w:lineRule="exact"/>
        <w:ind w:firstLine="630"/>
        <w:rPr>
          <w:color w:val="000000"/>
          <w:kern w:val="0"/>
        </w:rPr>
      </w:pPr>
      <w:r>
        <w:rPr>
          <w:rFonts w:hint="eastAsia" w:cs="仿宋_GB2312"/>
          <w:color w:val="000000"/>
          <w:kern w:val="0"/>
          <w:lang w:bidi="ar"/>
        </w:rPr>
        <w:t>（一）项目申报企业是项目质量的责任主体，无论项目最终是否获得资助，申报企业均需要对所提交的项目申报资料的真实性、完整性、有效性负责。</w:t>
      </w:r>
    </w:p>
    <w:p w14:paraId="02C6D1C2">
      <w:pPr>
        <w:ind w:firstLine="630"/>
        <w:rPr>
          <w:highlight w:val="yellow"/>
        </w:rPr>
      </w:pPr>
      <w:r>
        <w:rPr>
          <w:rFonts w:hint="eastAsia"/>
        </w:rPr>
        <w:t>（二）项目申报企业需提前备好申报材料所涉及的合同、发票、凭证、完工材料等原件资料，以便专家核对。</w:t>
      </w:r>
      <w:r>
        <w:rPr>
          <w:rFonts w:hint="eastAsia"/>
          <w:highlight w:val="none"/>
        </w:rPr>
        <w:t>项目现场审核过程中，企业法人代表须签名确认。若法人代表因故不能签名的，应将加盖企业公章的授权委托书（详见附件</w:t>
      </w:r>
      <w:r>
        <w:rPr>
          <w:highlight w:val="none"/>
        </w:rPr>
        <w:t>3</w:t>
      </w:r>
      <w:r>
        <w:rPr>
          <w:rFonts w:hint="eastAsia"/>
          <w:highlight w:val="none"/>
        </w:rPr>
        <w:t>）交予相关工作人员。</w:t>
      </w:r>
    </w:p>
    <w:p w14:paraId="2069B4C1">
      <w:pPr>
        <w:adjustRightInd w:val="0"/>
        <w:spacing w:line="560" w:lineRule="exact"/>
        <w:ind w:firstLine="630"/>
        <w:rPr>
          <w:color w:val="000000"/>
          <w:kern w:val="0"/>
        </w:rPr>
      </w:pPr>
      <w:r>
        <w:rPr>
          <w:rFonts w:hint="eastAsia" w:cs="仿宋_GB2312"/>
          <w:color w:val="000000"/>
          <w:kern w:val="0"/>
          <w:lang w:bidi="ar"/>
        </w:rPr>
        <w:t>（三）项目申报单位有下列行为之一的，停止拨付财政资助资金，追缴已拨付的财政资助资金，取消单位</w:t>
      </w:r>
      <w:r>
        <w:rPr>
          <w:rFonts w:cs="Times New Roman"/>
          <w:color w:val="000000"/>
          <w:kern w:val="0"/>
          <w:lang w:bidi="ar"/>
        </w:rPr>
        <w:t xml:space="preserve"> 5 </w:t>
      </w:r>
      <w:r>
        <w:rPr>
          <w:rFonts w:hint="eastAsia" w:cs="仿宋_GB2312"/>
          <w:color w:val="000000"/>
          <w:kern w:val="0"/>
          <w:lang w:bidi="ar"/>
        </w:rPr>
        <w:t>年内申报财政资助资金的资格。构成犯罪的，移交司法机关依法追究刑事责任：</w:t>
      </w:r>
    </w:p>
    <w:p w14:paraId="12480937">
      <w:pPr>
        <w:adjustRightInd w:val="0"/>
        <w:spacing w:line="560" w:lineRule="exact"/>
        <w:ind w:firstLine="630"/>
        <w:rPr>
          <w:color w:val="000000"/>
          <w:kern w:val="0"/>
        </w:rPr>
      </w:pPr>
      <w:r>
        <w:rPr>
          <w:rFonts w:cs="Times New Roman"/>
          <w:color w:val="000000"/>
          <w:kern w:val="0"/>
          <w:lang w:bidi="ar"/>
        </w:rPr>
        <w:t>1</w:t>
      </w:r>
      <w:r>
        <w:rPr>
          <w:rFonts w:hint="eastAsia" w:cs="仿宋_GB2312"/>
          <w:color w:val="000000"/>
          <w:kern w:val="0"/>
          <w:lang w:bidi="ar"/>
        </w:rPr>
        <w:t>．提供虚假资料或凭证骗取财政资助资金的；</w:t>
      </w:r>
    </w:p>
    <w:p w14:paraId="709636D4">
      <w:pPr>
        <w:adjustRightInd w:val="0"/>
        <w:spacing w:line="560" w:lineRule="exact"/>
        <w:ind w:firstLine="630"/>
        <w:rPr>
          <w:color w:val="000000"/>
          <w:kern w:val="0"/>
        </w:rPr>
      </w:pPr>
      <w:r>
        <w:rPr>
          <w:rFonts w:cs="Times New Roman"/>
          <w:color w:val="000000"/>
          <w:kern w:val="0"/>
          <w:lang w:bidi="ar"/>
        </w:rPr>
        <w:t>2</w:t>
      </w:r>
      <w:r>
        <w:rPr>
          <w:rFonts w:hint="eastAsia" w:cs="仿宋_GB2312"/>
          <w:color w:val="000000"/>
          <w:kern w:val="0"/>
          <w:lang w:bidi="ar"/>
        </w:rPr>
        <w:t>．将与实际支出内容不相符的票据入账骗取财政资助资金的；</w:t>
      </w:r>
    </w:p>
    <w:p w14:paraId="4DC25787">
      <w:pPr>
        <w:adjustRightInd w:val="0"/>
        <w:spacing w:line="560" w:lineRule="exact"/>
        <w:ind w:firstLine="630"/>
        <w:rPr>
          <w:color w:val="000000"/>
          <w:kern w:val="0"/>
        </w:rPr>
      </w:pPr>
      <w:r>
        <w:rPr>
          <w:rFonts w:cs="Times New Roman"/>
          <w:color w:val="000000"/>
          <w:kern w:val="0"/>
          <w:lang w:bidi="ar"/>
        </w:rPr>
        <w:t>3</w:t>
      </w:r>
      <w:r>
        <w:rPr>
          <w:rFonts w:hint="eastAsia" w:cs="仿宋_GB2312"/>
          <w:color w:val="000000"/>
          <w:kern w:val="0"/>
          <w:lang w:bidi="ar"/>
        </w:rPr>
        <w:t>．将同一笔经费支出多头记账，在不同的项目重复列支骗取财政资助资金的。</w:t>
      </w:r>
    </w:p>
    <w:p w14:paraId="0B6A75F5">
      <w:pPr>
        <w:pStyle w:val="2"/>
        <w:ind w:firstLine="630"/>
      </w:pPr>
      <w:r>
        <w:rPr>
          <w:rFonts w:hint="eastAsia"/>
        </w:rPr>
        <w:t>六、项目的财务投入核算指引</w:t>
      </w:r>
    </w:p>
    <w:p w14:paraId="0E3BEA0F">
      <w:pPr>
        <w:ind w:firstLine="630"/>
      </w:pPr>
      <w:r>
        <w:rPr>
          <w:rFonts w:hint="eastAsia"/>
        </w:rPr>
        <w:t>（一）项目投入核算时间详见本指南第一条“申报条件”。</w:t>
      </w:r>
    </w:p>
    <w:p w14:paraId="2B8F01D0">
      <w:pPr>
        <w:ind w:firstLine="630"/>
      </w:pPr>
      <w:r>
        <w:rPr>
          <w:rFonts w:hint="eastAsia"/>
        </w:rPr>
        <w:t>（二）项目投入纳入核算的范围为企业与经认定的数字化牵引单位签订合同，且已纳入“东莞市中小企业数字化转型城市试点数字化产品和服务目录”的产品服务投入，“数字化产品和服务目录”及数字化牵引单位名单以市工业和信息化局最新公布为准，可在“企莞家-中小企业数字化转型公共服务平台”查询。</w:t>
      </w:r>
    </w:p>
    <w:p w14:paraId="28456387">
      <w:pPr>
        <w:ind w:firstLine="630"/>
      </w:pPr>
      <w:r>
        <w:rPr>
          <w:rFonts w:hint="eastAsia"/>
        </w:rPr>
        <w:t>（三）核算企业项目实际投入金额以产品服务在“数字化产品和服务目录”内的“服务商报价”为基准价格。若“服务商报价”是区间范围的，以区间最大值为基准价格。</w:t>
      </w:r>
    </w:p>
    <w:p w14:paraId="0907F927">
      <w:pPr>
        <w:ind w:firstLine="630"/>
      </w:pPr>
      <w:r>
        <w:rPr>
          <w:rFonts w:hint="eastAsia"/>
        </w:rPr>
        <w:t>（四）企业与经认定的数字化牵引单位签订合同购买某一产品服务，该产品服务交易价格高于基准价格的，超出部分不纳入核算政策奖补范围，以基准价格核算实际投入金额；交易价格低于基准价格的，以交易价格核算实际投入金额。</w:t>
      </w:r>
    </w:p>
    <w:p w14:paraId="11EE0F1C">
      <w:pPr>
        <w:ind w:firstLine="630"/>
      </w:pPr>
      <w:r>
        <w:rPr>
          <w:rFonts w:hint="eastAsia"/>
        </w:rPr>
        <w:t>（五）涉及使用电子发票（电子报关单）的，企业需按要求补充承诺函，见附件6。</w:t>
      </w:r>
    </w:p>
    <w:p w14:paraId="74C652A7">
      <w:pPr>
        <w:ind w:firstLine="630"/>
      </w:pPr>
      <w:r>
        <w:rPr>
          <w:rFonts w:hint="eastAsia"/>
        </w:rPr>
        <w:t>（六）单张票据金额少于1千元（含1千元）的投入不纳入资助范围。</w:t>
      </w:r>
    </w:p>
    <w:p w14:paraId="775DB452">
      <w:pPr>
        <w:ind w:firstLine="630"/>
      </w:pPr>
      <w:r>
        <w:rPr>
          <w:rFonts w:hint="eastAsia"/>
        </w:rPr>
        <w:t>（七）发票（报关单）、银行付款凭证等票据的交易双方须与合同交易双方保持一致。</w:t>
      </w:r>
    </w:p>
    <w:p w14:paraId="60DB9E1B">
      <w:pPr>
        <w:ind w:firstLine="630"/>
      </w:pPr>
      <w:r>
        <w:rPr>
          <w:rFonts w:hint="eastAsia"/>
        </w:rPr>
        <w:t>（八）申报企业应规范项目资金支付管理，与项目有关的所有经费开支必须通过合同采购方的开户银行进行转账结算，否则不予纳入项目投资额的核算范围。</w:t>
      </w:r>
    </w:p>
    <w:p w14:paraId="644D566F">
      <w:pPr>
        <w:ind w:firstLine="630"/>
      </w:pPr>
      <w:r>
        <w:rPr>
          <w:rFonts w:hint="eastAsia"/>
        </w:rPr>
        <w:t>（九）使用银行承兑汇票方式支付的投入，软硬件销售方收到支票的时间应在项目实施期内，并且须提供背书流程以及收到汇票的收据，如委托签收的，还须提供授权委托书；必要时，通过函证形式进行确认。</w:t>
      </w:r>
    </w:p>
    <w:p w14:paraId="05F9DE5C">
      <w:pPr>
        <w:ind w:firstLine="630"/>
      </w:pPr>
      <w:r>
        <w:rPr>
          <w:rFonts w:hint="eastAsia"/>
        </w:rPr>
        <w:t>（十）项目支出须提供发票联，抵扣联不予认可。</w:t>
      </w:r>
    </w:p>
    <w:p w14:paraId="5DD41077">
      <w:pPr>
        <w:ind w:firstLine="630"/>
        <w:rPr>
          <w:rFonts w:cs="Times New Roman"/>
          <w:lang w:bidi="ar"/>
        </w:rPr>
      </w:pPr>
      <w:r>
        <w:rPr>
          <w:rFonts w:hint="eastAsia" w:cs="仿宋_GB2312"/>
          <w:lang w:bidi="ar"/>
        </w:rPr>
        <w:t>（十一）</w:t>
      </w:r>
      <w:r>
        <w:rPr>
          <w:rFonts w:hint="eastAsia" w:cs="Times New Roman"/>
          <w:color w:val="FF0000"/>
          <w:u w:val="single"/>
          <w:lang w:bidi="ar"/>
        </w:rPr>
        <w:t>纳入项目投入核算的发票应与合同内容保持一致，并符合会计准则。根据合同硬件设备、软件产品和实施服务费对应税点开具发票。</w:t>
      </w:r>
    </w:p>
    <w:p w14:paraId="2B88830B">
      <w:pPr>
        <w:ind w:firstLine="630"/>
      </w:pPr>
      <w:r>
        <w:rPr>
          <w:rFonts w:hint="eastAsia" w:cs="Times New Roman"/>
          <w:lang w:bidi="ar"/>
        </w:rPr>
        <w:t>（十二）</w:t>
      </w:r>
      <w:r>
        <w:rPr>
          <w:rFonts w:hint="eastAsia" w:cs="仿宋_GB2312"/>
          <w:lang w:bidi="ar"/>
        </w:rPr>
        <w:t>企业预付订阅式付费产品，最高可享受</w:t>
      </w:r>
      <w:r>
        <w:rPr>
          <w:rFonts w:cs="Times New Roman"/>
          <w:lang w:bidi="ar"/>
        </w:rPr>
        <w:t>12</w:t>
      </w:r>
      <w:r>
        <w:rPr>
          <w:rFonts w:hint="eastAsia" w:cs="仿宋_GB2312"/>
          <w:lang w:bidi="ar"/>
        </w:rPr>
        <w:t>个月的补贴，且补贴期限不得超过</w:t>
      </w:r>
      <w:r>
        <w:rPr>
          <w:rFonts w:cs="Times New Roman"/>
          <w:lang w:bidi="ar"/>
        </w:rPr>
        <w:t>2025</w:t>
      </w:r>
      <w:r>
        <w:rPr>
          <w:rFonts w:hint="eastAsia" w:cs="仿宋_GB2312"/>
          <w:lang w:bidi="ar"/>
        </w:rPr>
        <w:t>年</w:t>
      </w:r>
      <w:r>
        <w:rPr>
          <w:rFonts w:cs="Times New Roman"/>
          <w:lang w:bidi="ar"/>
        </w:rPr>
        <w:t>12</w:t>
      </w:r>
      <w:r>
        <w:rPr>
          <w:rFonts w:hint="eastAsia" w:cs="仿宋_GB2312"/>
          <w:lang w:bidi="ar"/>
        </w:rPr>
        <w:t>月</w:t>
      </w:r>
      <w:r>
        <w:rPr>
          <w:rFonts w:cs="Times New Roman"/>
          <w:lang w:bidi="ar"/>
        </w:rPr>
        <w:t>31</w:t>
      </w:r>
      <w:r>
        <w:rPr>
          <w:rFonts w:hint="eastAsia" w:cs="仿宋_GB2312"/>
          <w:lang w:bidi="ar"/>
        </w:rPr>
        <w:t>日。</w:t>
      </w:r>
    </w:p>
    <w:p w14:paraId="2F18005C">
      <w:pPr>
        <w:pStyle w:val="2"/>
        <w:ind w:firstLine="630"/>
      </w:pPr>
      <w:r>
        <w:rPr>
          <w:rFonts w:hint="eastAsia"/>
        </w:rPr>
        <w:t>七、责任与义务</w:t>
      </w:r>
    </w:p>
    <w:p w14:paraId="46D28836">
      <w:pPr>
        <w:ind w:firstLine="630"/>
      </w:pPr>
      <w:r>
        <w:rPr>
          <w:rFonts w:hint="eastAsia"/>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14:paraId="15C061B4">
      <w:pPr>
        <w:ind w:firstLine="630"/>
      </w:pPr>
      <w:r>
        <w:rPr>
          <w:rFonts w:hint="eastAsia"/>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14:paraId="0097F4D0">
      <w:pPr>
        <w:ind w:firstLine="630"/>
      </w:pPr>
    </w:p>
    <w:p w14:paraId="60977207">
      <w:pPr>
        <w:ind w:left="1896" w:leftChars="200" w:hanging="1264" w:hangingChars="400"/>
      </w:pPr>
      <w:r>
        <w:rPr>
          <w:rFonts w:hint="eastAsia"/>
        </w:rPr>
        <w:t>附件：1.东莞市中小企业数字化转型城市试点专项资金中小企业数字化改造项目申请表</w:t>
      </w:r>
    </w:p>
    <w:p w14:paraId="2CFE65AA">
      <w:pPr>
        <w:ind w:left="1896" w:leftChars="500" w:hanging="316" w:hangingChars="100"/>
      </w:pPr>
      <w:r>
        <w:rPr>
          <w:rFonts w:hint="eastAsia"/>
        </w:rPr>
        <w:t>2.东莞市中小企业数字化转型城市试点专项资金中小企业数字化改造项目投入明细表</w:t>
      </w:r>
    </w:p>
    <w:p w14:paraId="368EF803">
      <w:pPr>
        <w:ind w:firstLine="1580" w:firstLineChars="500"/>
      </w:pPr>
      <w:r>
        <w:rPr>
          <w:rFonts w:hint="eastAsia"/>
        </w:rPr>
        <w:t>3.法定代表人授权委托书</w:t>
      </w:r>
    </w:p>
    <w:p w14:paraId="25CD48FC">
      <w:pPr>
        <w:ind w:firstLine="1580" w:firstLineChars="500"/>
      </w:pPr>
      <w:r>
        <w:rPr>
          <w:rFonts w:hint="eastAsia"/>
        </w:rPr>
        <w:t>4.电子发票等票据使用承诺书</w:t>
      </w:r>
    </w:p>
    <w:p w14:paraId="4F75A05F">
      <w:pPr>
        <w:ind w:firstLine="0" w:firstLineChars="0"/>
      </w:pPr>
    </w:p>
    <w:bookmarkEnd w:id="1"/>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14:paraId="13720853">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14:paraId="18B611DA">
    <w:pPr>
      <w:pStyle w:val="13"/>
      <w:ind w:firstLine="360"/>
    </w:pPr>
  </w:p>
  <w:p w14:paraId="1BD7866E">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14:paraId="3C7EE496">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2</w:t>
        </w:r>
        <w:r>
          <w:rPr>
            <w:rFonts w:cs="Times New Roman"/>
            <w:sz w:val="28"/>
            <w:szCs w:val="28"/>
          </w:rPr>
          <w:fldChar w:fldCharType="end"/>
        </w:r>
        <w:r>
          <w:rPr>
            <w:sz w:val="28"/>
            <w:szCs w:val="28"/>
          </w:rPr>
          <w:t>—</w:t>
        </w:r>
      </w:p>
    </w:sdtContent>
  </w:sdt>
  <w:p w14:paraId="6B14209C">
    <w:pPr>
      <w:pStyle w:val="13"/>
      <w:ind w:firstLine="360"/>
    </w:pPr>
  </w:p>
  <w:p w14:paraId="7E3403DE">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4A64B">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22CF8">
    <w:pPr>
      <w:pStyle w:val="14"/>
      <w:pBdr>
        <w:bottom w:val="none" w:color="auto" w:sz="0" w:space="0"/>
      </w:pBdr>
      <w:ind w:firstLine="360"/>
    </w:pPr>
  </w:p>
  <w:p w14:paraId="6613F90A">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F5367">
    <w:pPr>
      <w:pStyle w:val="14"/>
      <w:pBdr>
        <w:bottom w:val="none" w:color="auto" w:sz="0" w:space="0"/>
      </w:pBdr>
      <w:ind w:firstLine="360"/>
    </w:pPr>
  </w:p>
  <w:p w14:paraId="379F8084">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23E93">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trackRevisions w:val="1"/>
  <w:documentProtection w:enforcement="0"/>
  <w:defaultTabStop w:val="420"/>
  <w:evenAndOddHeaders w:val="1"/>
  <w:drawingGridHorizontalSpacing w:val="315"/>
  <w:drawingGridVerticalSpacing w:val="57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1NjI1MzFmMjAxMGFkMzJiMWM3YWUyOTIwZGFmYTcifQ=="/>
  </w:docVars>
  <w:rsids>
    <w:rsidRoot w:val="00D96D8D"/>
    <w:rsid w:val="0007286F"/>
    <w:rsid w:val="00084F14"/>
    <w:rsid w:val="001212CA"/>
    <w:rsid w:val="001223C7"/>
    <w:rsid w:val="00136FAA"/>
    <w:rsid w:val="00147A18"/>
    <w:rsid w:val="001708B0"/>
    <w:rsid w:val="00183C19"/>
    <w:rsid w:val="001A2839"/>
    <w:rsid w:val="001E5A59"/>
    <w:rsid w:val="002063D7"/>
    <w:rsid w:val="00214A51"/>
    <w:rsid w:val="00236E07"/>
    <w:rsid w:val="00245FAE"/>
    <w:rsid w:val="00270B06"/>
    <w:rsid w:val="002E0C81"/>
    <w:rsid w:val="00324A08"/>
    <w:rsid w:val="00367B65"/>
    <w:rsid w:val="003A666E"/>
    <w:rsid w:val="003B3330"/>
    <w:rsid w:val="003F11E2"/>
    <w:rsid w:val="003F36CC"/>
    <w:rsid w:val="00414EDE"/>
    <w:rsid w:val="00423654"/>
    <w:rsid w:val="00435ADD"/>
    <w:rsid w:val="004636E0"/>
    <w:rsid w:val="00466992"/>
    <w:rsid w:val="00475836"/>
    <w:rsid w:val="00487C22"/>
    <w:rsid w:val="004F2C54"/>
    <w:rsid w:val="004F45B9"/>
    <w:rsid w:val="00502BB7"/>
    <w:rsid w:val="00503900"/>
    <w:rsid w:val="0052475C"/>
    <w:rsid w:val="00547E81"/>
    <w:rsid w:val="00584B53"/>
    <w:rsid w:val="0059064D"/>
    <w:rsid w:val="005C31F1"/>
    <w:rsid w:val="00604CD6"/>
    <w:rsid w:val="00687958"/>
    <w:rsid w:val="00693F4B"/>
    <w:rsid w:val="006A4F3C"/>
    <w:rsid w:val="006B78DF"/>
    <w:rsid w:val="006C372E"/>
    <w:rsid w:val="006E2051"/>
    <w:rsid w:val="00726058"/>
    <w:rsid w:val="00733A53"/>
    <w:rsid w:val="0077793D"/>
    <w:rsid w:val="00794B67"/>
    <w:rsid w:val="007C29AE"/>
    <w:rsid w:val="007D39BC"/>
    <w:rsid w:val="007E5921"/>
    <w:rsid w:val="008425D9"/>
    <w:rsid w:val="00853933"/>
    <w:rsid w:val="00891F99"/>
    <w:rsid w:val="00896E2E"/>
    <w:rsid w:val="008A611C"/>
    <w:rsid w:val="008B1523"/>
    <w:rsid w:val="008B323F"/>
    <w:rsid w:val="008E2507"/>
    <w:rsid w:val="008F5A13"/>
    <w:rsid w:val="00900605"/>
    <w:rsid w:val="0090685B"/>
    <w:rsid w:val="00907A38"/>
    <w:rsid w:val="00912179"/>
    <w:rsid w:val="00920F4E"/>
    <w:rsid w:val="009251A0"/>
    <w:rsid w:val="00930ED8"/>
    <w:rsid w:val="00950F29"/>
    <w:rsid w:val="00950F30"/>
    <w:rsid w:val="00957C17"/>
    <w:rsid w:val="009820D7"/>
    <w:rsid w:val="00985FEC"/>
    <w:rsid w:val="00993001"/>
    <w:rsid w:val="00A22A8E"/>
    <w:rsid w:val="00A4392F"/>
    <w:rsid w:val="00A678F7"/>
    <w:rsid w:val="00A97C9F"/>
    <w:rsid w:val="00AB77DB"/>
    <w:rsid w:val="00AF001B"/>
    <w:rsid w:val="00B04EF2"/>
    <w:rsid w:val="00B126AF"/>
    <w:rsid w:val="00B178B8"/>
    <w:rsid w:val="00B37997"/>
    <w:rsid w:val="00B40C8F"/>
    <w:rsid w:val="00B433BD"/>
    <w:rsid w:val="00B61EAA"/>
    <w:rsid w:val="00B77AFA"/>
    <w:rsid w:val="00BB2E06"/>
    <w:rsid w:val="00BC62C5"/>
    <w:rsid w:val="00BE2643"/>
    <w:rsid w:val="00BF7E9C"/>
    <w:rsid w:val="00C160E1"/>
    <w:rsid w:val="00C35BD6"/>
    <w:rsid w:val="00C50DE7"/>
    <w:rsid w:val="00C661B1"/>
    <w:rsid w:val="00C75259"/>
    <w:rsid w:val="00CB7027"/>
    <w:rsid w:val="00CC09BC"/>
    <w:rsid w:val="00CD18DE"/>
    <w:rsid w:val="00CE2161"/>
    <w:rsid w:val="00D60738"/>
    <w:rsid w:val="00D66E49"/>
    <w:rsid w:val="00D71464"/>
    <w:rsid w:val="00D96D8D"/>
    <w:rsid w:val="00DC3B53"/>
    <w:rsid w:val="00DC5D96"/>
    <w:rsid w:val="00DD35C1"/>
    <w:rsid w:val="00E16273"/>
    <w:rsid w:val="00E45FE9"/>
    <w:rsid w:val="00E84046"/>
    <w:rsid w:val="00E95B98"/>
    <w:rsid w:val="00E97824"/>
    <w:rsid w:val="00EA1D5B"/>
    <w:rsid w:val="00EB64AC"/>
    <w:rsid w:val="00EE5D65"/>
    <w:rsid w:val="00F628D5"/>
    <w:rsid w:val="00F650E3"/>
    <w:rsid w:val="00F65774"/>
    <w:rsid w:val="00FD674B"/>
    <w:rsid w:val="00FE1849"/>
    <w:rsid w:val="00FE44F9"/>
    <w:rsid w:val="0A720B07"/>
    <w:rsid w:val="0BF664D8"/>
    <w:rsid w:val="0CB71741"/>
    <w:rsid w:val="11657019"/>
    <w:rsid w:val="139D39CE"/>
    <w:rsid w:val="19B11B22"/>
    <w:rsid w:val="31C07C5D"/>
    <w:rsid w:val="32574EE0"/>
    <w:rsid w:val="3CC96AB5"/>
    <w:rsid w:val="3DBA24F2"/>
    <w:rsid w:val="530C3017"/>
    <w:rsid w:val="5858054A"/>
    <w:rsid w:val="64B25AC9"/>
    <w:rsid w:val="6E7B2E42"/>
    <w:rsid w:val="7AC1208A"/>
    <w:rsid w:val="7BA63759"/>
    <w:rsid w:val="7FC14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28"/>
    <w:qFormat/>
    <w:uiPriority w:val="0"/>
    <w:pPr>
      <w:keepNext/>
      <w:keepLines/>
      <w:outlineLvl w:val="0"/>
    </w:pPr>
    <w:rPr>
      <w:rFonts w:eastAsia="黑体"/>
      <w:bCs/>
      <w:kern w:val="44"/>
      <w:szCs w:val="44"/>
    </w:rPr>
  </w:style>
  <w:style w:type="paragraph" w:styleId="3">
    <w:name w:val="heading 2"/>
    <w:basedOn w:val="1"/>
    <w:next w:val="1"/>
    <w:link w:val="27"/>
    <w:semiHidden/>
    <w:unhideWhenUsed/>
    <w:qFormat/>
    <w:uiPriority w:val="0"/>
    <w:pPr>
      <w:keepNext/>
      <w:keepLines/>
      <w:outlineLvl w:val="1"/>
    </w:pPr>
    <w:rPr>
      <w:rFonts w:eastAsia="楷体_GB2312" w:cstheme="majorBidi"/>
      <w:bCs/>
    </w:rPr>
  </w:style>
  <w:style w:type="paragraph" w:styleId="4">
    <w:name w:val="heading 3"/>
    <w:basedOn w:val="1"/>
    <w:next w:val="1"/>
    <w:link w:val="34"/>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5"/>
    <w:autoRedefine/>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6"/>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7"/>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38"/>
    <w:autoRedefine/>
    <w:unhideWhenUsed/>
    <w:qFormat/>
    <w:uiPriority w:val="99"/>
    <w:pPr>
      <w:spacing w:line="240" w:lineRule="auto"/>
      <w:ind w:firstLine="420" w:firstLineChars="100"/>
    </w:pPr>
    <w:rPr>
      <w:szCs w:val="24"/>
    </w:rPr>
  </w:style>
  <w:style w:type="paragraph" w:styleId="11">
    <w:name w:val="Body Text Indent"/>
    <w:basedOn w:val="1"/>
    <w:next w:val="5"/>
    <w:link w:val="39"/>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0"/>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6"/>
    <w:unhideWhenUsed/>
    <w:qFormat/>
    <w:uiPriority w:val="0"/>
    <w:pPr>
      <w:tabs>
        <w:tab w:val="center" w:pos="4153"/>
        <w:tab w:val="right" w:pos="8306"/>
      </w:tabs>
      <w:snapToGrid w:val="0"/>
      <w:jc w:val="left"/>
    </w:pPr>
    <w:rPr>
      <w:sz w:val="18"/>
      <w:szCs w:val="18"/>
    </w:rPr>
  </w:style>
  <w:style w:type="paragraph" w:styleId="1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1"/>
    <w:qFormat/>
    <w:uiPriority w:val="5"/>
    <w:pPr>
      <w:ind w:firstLine="0" w:firstLineChars="0"/>
      <w:jc w:val="left"/>
    </w:pPr>
    <w:rPr>
      <w:rFonts w:ascii="黑体" w:hAnsi="黑体" w:eastAsia="黑体" w:cstheme="majorBidi"/>
      <w:bCs/>
      <w:kern w:val="28"/>
    </w:rPr>
  </w:style>
  <w:style w:type="paragraph" w:styleId="16">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7">
    <w:name w:val="Title"/>
    <w:basedOn w:val="1"/>
    <w:next w:val="1"/>
    <w:link w:val="29"/>
    <w:qFormat/>
    <w:uiPriority w:val="4"/>
    <w:pPr>
      <w:jc w:val="left"/>
      <w:outlineLvl w:val="2"/>
    </w:pPr>
    <w:rPr>
      <w:rFonts w:cstheme="majorBidi"/>
      <w:b/>
      <w:bCs/>
    </w:rPr>
  </w:style>
  <w:style w:type="paragraph" w:styleId="18">
    <w:name w:val="annotation subject"/>
    <w:basedOn w:val="8"/>
    <w:next w:val="8"/>
    <w:link w:val="41"/>
    <w:qFormat/>
    <w:uiPriority w:val="0"/>
    <w:rPr>
      <w:b/>
      <w:bCs/>
    </w:rPr>
  </w:style>
  <w:style w:type="paragraph" w:styleId="19">
    <w:name w:val="Body Text First Indent 2"/>
    <w:basedOn w:val="11"/>
    <w:next w:val="11"/>
    <w:link w:val="42"/>
    <w:qFormat/>
    <w:uiPriority w:val="0"/>
    <w:pPr>
      <w:tabs>
        <w:tab w:val="left" w:pos="0"/>
      </w:tabs>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semiHidden/>
    <w:unhideWhenUsed/>
    <w:qFormat/>
    <w:uiPriority w:val="99"/>
    <w:rPr>
      <w:color w:val="0563C1" w:themeColor="hyperlink"/>
      <w:u w:val="single"/>
      <w14:textFill>
        <w14:solidFill>
          <w14:schemeClr w14:val="hlink"/>
        </w14:solidFill>
      </w14:textFill>
    </w:rPr>
  </w:style>
  <w:style w:type="character" w:styleId="24">
    <w:name w:val="annotation reference"/>
    <w:basedOn w:val="22"/>
    <w:qFormat/>
    <w:uiPriority w:val="0"/>
    <w:rPr>
      <w:sz w:val="21"/>
      <w:szCs w:val="21"/>
    </w:rPr>
  </w:style>
  <w:style w:type="character" w:customStyle="1" w:styleId="25">
    <w:name w:val="页眉 字符"/>
    <w:basedOn w:val="22"/>
    <w:link w:val="14"/>
    <w:qFormat/>
    <w:uiPriority w:val="99"/>
    <w:rPr>
      <w:rFonts w:eastAsia="仿宋_GB2312"/>
      <w:sz w:val="18"/>
      <w:szCs w:val="18"/>
    </w:rPr>
  </w:style>
  <w:style w:type="character" w:customStyle="1" w:styleId="26">
    <w:name w:val="页脚 字符"/>
    <w:basedOn w:val="22"/>
    <w:link w:val="13"/>
    <w:qFormat/>
    <w:uiPriority w:val="99"/>
    <w:rPr>
      <w:rFonts w:eastAsia="仿宋_GB2312"/>
      <w:sz w:val="18"/>
      <w:szCs w:val="18"/>
    </w:rPr>
  </w:style>
  <w:style w:type="character" w:customStyle="1" w:styleId="27">
    <w:name w:val="标题 2 字符"/>
    <w:basedOn w:val="22"/>
    <w:link w:val="3"/>
    <w:semiHidden/>
    <w:qFormat/>
    <w:uiPriority w:val="3"/>
    <w:rPr>
      <w:rFonts w:eastAsia="楷体_GB2312" w:cstheme="majorBidi"/>
      <w:bCs/>
    </w:rPr>
  </w:style>
  <w:style w:type="character" w:customStyle="1" w:styleId="28">
    <w:name w:val="标题 1 字符"/>
    <w:basedOn w:val="22"/>
    <w:link w:val="2"/>
    <w:qFormat/>
    <w:uiPriority w:val="2"/>
    <w:rPr>
      <w:rFonts w:eastAsia="黑体"/>
      <w:bCs/>
      <w:kern w:val="44"/>
      <w:szCs w:val="44"/>
    </w:rPr>
  </w:style>
  <w:style w:type="character" w:customStyle="1" w:styleId="29">
    <w:name w:val="标题 字符"/>
    <w:basedOn w:val="22"/>
    <w:link w:val="17"/>
    <w:qFormat/>
    <w:uiPriority w:val="4"/>
    <w:rPr>
      <w:rFonts w:cstheme="majorBidi"/>
      <w:b/>
      <w:bCs/>
    </w:rPr>
  </w:style>
  <w:style w:type="paragraph" w:styleId="30">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1">
    <w:name w:val="副标题 字符"/>
    <w:basedOn w:val="22"/>
    <w:link w:val="15"/>
    <w:qFormat/>
    <w:uiPriority w:val="5"/>
    <w:rPr>
      <w:rFonts w:ascii="黑体" w:hAnsi="黑体" w:eastAsia="黑体" w:cstheme="majorBidi"/>
      <w:bCs/>
      <w:kern w:val="28"/>
    </w:rPr>
  </w:style>
  <w:style w:type="paragraph" w:customStyle="1" w:styleId="32">
    <w:name w:val="落款单位"/>
    <w:basedOn w:val="1"/>
    <w:next w:val="1"/>
    <w:qFormat/>
    <w:uiPriority w:val="6"/>
    <w:pPr>
      <w:ind w:right="300" w:rightChars="300"/>
      <w:jc w:val="right"/>
    </w:pPr>
  </w:style>
  <w:style w:type="paragraph" w:customStyle="1" w:styleId="33">
    <w:name w:val="落款日期"/>
    <w:basedOn w:val="32"/>
    <w:qFormat/>
    <w:uiPriority w:val="6"/>
    <w:pPr>
      <w:ind w:right="400" w:rightChars="400"/>
    </w:pPr>
  </w:style>
  <w:style w:type="character" w:customStyle="1" w:styleId="34">
    <w:name w:val="标题 3 字符"/>
    <w:basedOn w:val="22"/>
    <w:link w:val="4"/>
    <w:semiHidden/>
    <w:qFormat/>
    <w:uiPriority w:val="0"/>
    <w:rPr>
      <w:rFonts w:cs="Arial"/>
      <w:snapToGrid w:val="0"/>
      <w:color w:val="000000"/>
      <w:kern w:val="0"/>
      <w:szCs w:val="21"/>
    </w:rPr>
  </w:style>
  <w:style w:type="character" w:customStyle="1" w:styleId="35">
    <w:name w:val="文档结构图 字符"/>
    <w:basedOn w:val="22"/>
    <w:link w:val="7"/>
    <w:qFormat/>
    <w:uiPriority w:val="0"/>
    <w:rPr>
      <w:rFonts w:ascii="Microsoft YaHei UI" w:eastAsia="Microsoft YaHei UI" w:cs="Arial"/>
      <w:snapToGrid w:val="0"/>
      <w:color w:val="000000"/>
      <w:kern w:val="0"/>
      <w:sz w:val="18"/>
      <w:szCs w:val="18"/>
    </w:rPr>
  </w:style>
  <w:style w:type="character" w:customStyle="1" w:styleId="36">
    <w:name w:val="批注文字 字符"/>
    <w:basedOn w:val="22"/>
    <w:link w:val="8"/>
    <w:qFormat/>
    <w:uiPriority w:val="0"/>
    <w:rPr>
      <w:rFonts w:cs="Arial"/>
      <w:snapToGrid w:val="0"/>
      <w:color w:val="000000"/>
      <w:kern w:val="0"/>
      <w:szCs w:val="21"/>
    </w:rPr>
  </w:style>
  <w:style w:type="character" w:customStyle="1" w:styleId="37">
    <w:name w:val="正文文本 字符"/>
    <w:basedOn w:val="22"/>
    <w:link w:val="9"/>
    <w:qFormat/>
    <w:uiPriority w:val="0"/>
    <w:rPr>
      <w:rFonts w:cs="Arial"/>
      <w:snapToGrid w:val="0"/>
      <w:color w:val="000000"/>
      <w:kern w:val="0"/>
      <w:szCs w:val="21"/>
    </w:rPr>
  </w:style>
  <w:style w:type="character" w:customStyle="1" w:styleId="38">
    <w:name w:val="正文文本首行缩进 字符"/>
    <w:basedOn w:val="37"/>
    <w:link w:val="10"/>
    <w:qFormat/>
    <w:uiPriority w:val="99"/>
    <w:rPr>
      <w:rFonts w:cs="Arial"/>
      <w:snapToGrid w:val="0"/>
      <w:color w:val="000000"/>
      <w:kern w:val="0"/>
      <w:szCs w:val="24"/>
    </w:rPr>
  </w:style>
  <w:style w:type="character" w:customStyle="1" w:styleId="39">
    <w:name w:val="正文文本缩进 字符"/>
    <w:basedOn w:val="22"/>
    <w:link w:val="11"/>
    <w:qFormat/>
    <w:uiPriority w:val="0"/>
    <w:rPr>
      <w:rFonts w:ascii="仿宋_GB2312" w:hAnsi="仿宋_GB2312" w:cs="Times New Roman"/>
      <w:snapToGrid w:val="0"/>
      <w:color w:val="000000"/>
      <w:kern w:val="0"/>
      <w:szCs w:val="21"/>
    </w:rPr>
  </w:style>
  <w:style w:type="character" w:customStyle="1" w:styleId="40">
    <w:name w:val="批注框文本 字符"/>
    <w:basedOn w:val="22"/>
    <w:link w:val="12"/>
    <w:qFormat/>
    <w:uiPriority w:val="0"/>
    <w:rPr>
      <w:rFonts w:cs="Arial"/>
      <w:snapToGrid w:val="0"/>
      <w:color w:val="000000"/>
      <w:kern w:val="0"/>
      <w:sz w:val="18"/>
      <w:szCs w:val="18"/>
    </w:rPr>
  </w:style>
  <w:style w:type="character" w:customStyle="1" w:styleId="41">
    <w:name w:val="批注主题 字符"/>
    <w:basedOn w:val="36"/>
    <w:link w:val="18"/>
    <w:autoRedefine/>
    <w:qFormat/>
    <w:uiPriority w:val="0"/>
    <w:rPr>
      <w:rFonts w:cs="Arial"/>
      <w:b/>
      <w:bCs/>
      <w:snapToGrid w:val="0"/>
      <w:color w:val="000000"/>
      <w:kern w:val="0"/>
      <w:szCs w:val="21"/>
    </w:rPr>
  </w:style>
  <w:style w:type="character" w:customStyle="1" w:styleId="42">
    <w:name w:val="正文文本首行缩进 2 字符"/>
    <w:basedOn w:val="39"/>
    <w:link w:val="19"/>
    <w:qFormat/>
    <w:uiPriority w:val="0"/>
    <w:rPr>
      <w:rFonts w:ascii="仿宋_GB2312" w:hAnsi="仿宋_GB2312" w:cs="Times New Roman"/>
      <w:snapToGrid w:val="0"/>
      <w:color w:val="000000"/>
      <w:kern w:val="0"/>
      <w:szCs w:val="21"/>
    </w:rPr>
  </w:style>
  <w:style w:type="character" w:customStyle="1" w:styleId="43">
    <w:name w:val="超链接1"/>
    <w:basedOn w:val="22"/>
    <w:qFormat/>
    <w:uiPriority w:val="0"/>
    <w:rPr>
      <w:color w:val="0026E5"/>
      <w:u w:val="single"/>
    </w:rPr>
  </w:style>
  <w:style w:type="paragraph" w:customStyle="1" w:styleId="4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5">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6">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7">
    <w:name w:val="要点1"/>
    <w:basedOn w:val="22"/>
    <w:qFormat/>
    <w:uiPriority w:val="0"/>
    <w:rPr>
      <w:rFonts w:ascii="黑体" w:hAnsi="黑体" w:eastAsia="黑体" w:cs="黑体"/>
      <w:sz w:val="21"/>
      <w:szCs w:val="21"/>
    </w:rPr>
  </w:style>
  <w:style w:type="table" w:customStyle="1" w:styleId="48">
    <w:name w:val="tableBorder"/>
    <w:basedOn w:val="20"/>
    <w:qFormat/>
    <w:uiPriority w:val="0"/>
  </w:style>
  <w:style w:type="paragraph" w:customStyle="1" w:styleId="49">
    <w:name w:val="列表段落1"/>
    <w:basedOn w:val="1"/>
    <w:autoRedefine/>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0">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2">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3">
    <w:name w:val="未处理的提及1"/>
    <w:basedOn w:val="22"/>
    <w:semiHidden/>
    <w:unhideWhenUsed/>
    <w:qFormat/>
    <w:uiPriority w:val="99"/>
    <w:rPr>
      <w:color w:val="605E5C"/>
      <w:shd w:val="clear" w:color="auto" w:fill="E1DFDD"/>
    </w:rPr>
  </w:style>
  <w:style w:type="paragraph" w:customStyle="1" w:styleId="54">
    <w:name w:val="修订2"/>
    <w:hidden/>
    <w:unhideWhenUsed/>
    <w:uiPriority w:val="99"/>
    <w:rPr>
      <w:rFonts w:ascii="Times New Roman" w:hAnsi="Times New Roman" w:eastAsia="仿宋_GB2312" w:cstheme="minorBidi"/>
      <w:kern w:val="2"/>
      <w:sz w:val="32"/>
      <w:szCs w:val="32"/>
      <w:lang w:val="en-US" w:eastAsia="zh-CN" w:bidi="ar-SA"/>
    </w:rPr>
  </w:style>
  <w:style w:type="paragraph" w:customStyle="1" w:styleId="55">
    <w:name w:val="Revision"/>
    <w:hidden/>
    <w:unhideWhenUsed/>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7</Pages>
  <Words>3741</Words>
  <Characters>3821</Characters>
  <Lines>27</Lines>
  <Paragraphs>7</Paragraphs>
  <TotalTime>68</TotalTime>
  <ScaleCrop>false</ScaleCrop>
  <LinksUpToDate>false</LinksUpToDate>
  <CharactersWithSpaces>3826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2024-08-07T06:55:00Z</dcterms:created>
  <dc:creator>KWZ</dc:creator>
  <cp:lastModifiedBy>celia</cp:lastModifiedBy>
  <dcterms:modified xsi:type="dcterms:W3CDTF">2024-10-30T02:28:04Z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B89325D089B248B49BCB68C592983BE0_12</vt:lpwstr>
  </property>
</Properties>
</file>