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rPr>
          <w:rFonts w:hint="default" w:ascii="Times New Roman" w:hAnsi="Times New Roman" w:cs="Times New Roman"/>
          <w:lang w:val="en-US" w:eastAsia="zh-CN"/>
        </w:rPr>
      </w:pPr>
    </w:p>
    <w:p>
      <w:pPr>
        <w:tabs>
          <w:tab w:val="left" w:pos="2062"/>
        </w:tabs>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项目申报指南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一、奖补对象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有效期内的省级专精特新中小企业。（不含国家专精特新“小巨人”企业），奖补对象不含已获得专精特新企业贷款贴息的企业。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二、扶持范围及额度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企业获得商业银行人民币贷款并在2023年5月1日至2024年4月30日期间实际发生的利息总额达到30万元及以上的支出给予补助（时间、额度核定以利息单实际发生额为准），补助金额按照单个企业的补助比例最高不超过利息的50%，最高不超过100万元（具体拨付金额以实际下达额度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三、入库评审标准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结合分配名额，根据以下评审标准择优入库。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（一）主导产品原则上属于以下重点领域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从事细分产品市场属于制造业核心基础零部件、元器件、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关键软件、先进基础工艺、关键基础材料和产业技术基础；或符合制造强国战略十大重点产业领域；或属于网络强国建设的信息基础设施、关键核心技术、网络安全、数据安全领域等产品。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（二）专业化指标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近2年主营业务收入平均增长率不低于5%。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（三）精细化指标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上年度企业资产负债率不高于70%。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（四）创新能力指标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上年度研发经费占营业收入比重4%以上。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四、申报程序及佐证材料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（一）线上申报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lang w:val="en-US" w:eastAsia="zh-CN" w:bidi="ar"/>
        </w:rPr>
        <w:t>登录数字工信平台（网址：</w:t>
      </w:r>
      <w:r>
        <w:rPr>
          <w:rFonts w:hint="default" w:ascii="Times New Roman" w:hAnsi="Times New Roman" w:eastAsia="仿宋_GB2312" w:cs="Times New Roman"/>
          <w:color w:val="auto"/>
          <w:kern w:val="0"/>
          <w:sz w:val="32"/>
          <w:szCs w:val="32"/>
          <w:u w:val="none"/>
          <w:lang w:val="en-US" w:eastAsia="zh-CN" w:bidi="ar"/>
        </w:rPr>
        <w:fldChar w:fldCharType="begin"/>
      </w:r>
      <w:r>
        <w:rPr>
          <w:rFonts w:hint="default" w:ascii="Times New Roman" w:hAnsi="Times New Roman" w:eastAsia="仿宋_GB2312" w:cs="Times New Roman"/>
          <w:color w:val="auto"/>
          <w:kern w:val="0"/>
          <w:sz w:val="32"/>
          <w:szCs w:val="32"/>
          <w:u w:val="none"/>
          <w:lang w:val="en-US" w:eastAsia="zh-CN" w:bidi="ar"/>
        </w:rPr>
        <w:instrText xml:space="preserve"> HYPERLINK "https://gdii.gd.gov.cn/szgx/或http:/210.76.82.21/）按要求" </w:instrText>
      </w:r>
      <w:r>
        <w:rPr>
          <w:rFonts w:hint="default" w:ascii="Times New Roman" w:hAnsi="Times New Roman" w:eastAsia="仿宋_GB2312" w:cs="Times New Roman"/>
          <w:color w:val="auto"/>
          <w:kern w:val="0"/>
          <w:sz w:val="32"/>
          <w:szCs w:val="32"/>
          <w:u w:val="none"/>
          <w:lang w:val="en-US" w:eastAsia="zh-CN" w:bidi="ar"/>
        </w:rPr>
        <w:fldChar w:fldCharType="separate"/>
      </w:r>
      <w:r>
        <w:rPr>
          <w:rStyle w:val="4"/>
          <w:rFonts w:hint="default" w:ascii="Times New Roman" w:hAnsi="Times New Roman" w:eastAsia="仿宋_GB2312" w:cs="Times New Roman"/>
          <w:color w:val="auto"/>
          <w:kern w:val="0"/>
          <w:sz w:val="32"/>
          <w:szCs w:val="32"/>
          <w:u w:val="none"/>
          <w:lang w:val="en-US" w:eastAsia="zh-CN" w:bidi="ar"/>
        </w:rPr>
        <w:t>https://gdii.gd.gov.cn/szgx/或http://210.76.82.21/）按要求</w:t>
      </w:r>
      <w:r>
        <w:rPr>
          <w:rFonts w:hint="default" w:ascii="Times New Roman" w:hAnsi="Times New Roman" w:eastAsia="仿宋_GB2312" w:cs="Times New Roman"/>
          <w:color w:val="auto"/>
          <w:kern w:val="0"/>
          <w:sz w:val="32"/>
          <w:szCs w:val="32"/>
          <w:u w:val="none"/>
          <w:lang w:val="en-US" w:eastAsia="zh-CN" w:bidi="ar"/>
        </w:rPr>
        <w:fldChar w:fldCharType="end"/>
      </w:r>
      <w:r>
        <w:rPr>
          <w:rFonts w:hint="default" w:ascii="Times New Roman" w:hAnsi="Times New Roman" w:eastAsia="仿宋_GB2312" w:cs="Times New Roman"/>
          <w:color w:val="auto"/>
          <w:kern w:val="0"/>
          <w:sz w:val="32"/>
          <w:szCs w:val="32"/>
          <w:u w:val="none"/>
          <w:lang w:val="en-US" w:eastAsia="zh-CN" w:bidi="ar"/>
        </w:rPr>
        <w:t>填报及上传申报材料，平台</w:t>
      </w:r>
      <w:r>
        <w:rPr>
          <w:rFonts w:hint="default" w:ascii="Times New Roman" w:hAnsi="Times New Roman" w:eastAsia="仿宋_GB2312" w:cs="Times New Roman"/>
          <w:color w:val="000000"/>
          <w:kern w:val="0"/>
          <w:sz w:val="32"/>
          <w:szCs w:val="32"/>
          <w:lang w:val="en-US" w:eastAsia="zh-CN" w:bidi="ar"/>
        </w:rPr>
        <w:t>线上申报截止日期为</w:t>
      </w:r>
      <w:r>
        <w:rPr>
          <w:rFonts w:hint="default" w:ascii="Times New Roman" w:hAnsi="Times New Roman" w:eastAsia="仿宋_GB2312" w:cs="Times New Roman"/>
          <w:b/>
          <w:bCs/>
          <w:color w:val="000000"/>
          <w:kern w:val="0"/>
          <w:sz w:val="32"/>
          <w:szCs w:val="32"/>
          <w:lang w:val="en-US" w:eastAsia="zh-CN" w:bidi="ar"/>
        </w:rPr>
        <w:t>2024年</w:t>
      </w:r>
      <w:r>
        <w:rPr>
          <w:rFonts w:hint="default" w:ascii="Times New Roman" w:hAnsi="Times New Roman" w:eastAsia="仿宋_GB2312" w:cs="Times New Roman"/>
          <w:b/>
          <w:bCs/>
          <w:color w:val="000000"/>
          <w:kern w:val="0"/>
          <w:sz w:val="32"/>
          <w:szCs w:val="32"/>
          <w:highlight w:val="none"/>
          <w:lang w:val="en-US" w:eastAsia="zh-CN" w:bidi="ar"/>
        </w:rPr>
        <w:t>7月23日（星期二），需上传的材料包括：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（1）项目真实性承诺函（附件2，法定代表人签名并加盖公章）；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（2）企业</w:t>
      </w:r>
      <w:r>
        <w:rPr>
          <w:rFonts w:hint="default" w:ascii="Times New Roman" w:hAnsi="Times New Roman" w:eastAsia="仿宋_GB2312" w:cs="Times New Roman"/>
          <w:color w:val="000000"/>
          <w:kern w:val="0"/>
          <w:sz w:val="32"/>
          <w:szCs w:val="32"/>
          <w:lang w:val="en-US" w:eastAsia="zh-CN" w:bidi="ar"/>
        </w:rPr>
        <w:t>营业执照（复印件，加盖公章）；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（3）2023年度税务申报表，包括2023年</w:t>
      </w:r>
      <w:r>
        <w:rPr>
          <w:rFonts w:hint="eastAsia" w:ascii="Times New Roman" w:hAnsi="Times New Roman" w:eastAsia="仿宋_GB2312" w:cs="Times New Roman"/>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度所得税申报表和2023年12月增值税申报表（复印件，加盖公章）；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（4）包括但不限于</w:t>
      </w:r>
      <w:r>
        <w:rPr>
          <w:rFonts w:hint="default" w:ascii="Times New Roman" w:hAnsi="Times New Roman" w:eastAsia="仿宋_GB2312" w:cs="Times New Roman"/>
          <w:b/>
          <w:bCs/>
          <w:color w:val="000000"/>
          <w:kern w:val="0"/>
          <w:sz w:val="32"/>
          <w:szCs w:val="32"/>
          <w:lang w:val="en-US" w:eastAsia="zh-CN" w:bidi="ar"/>
        </w:rPr>
        <w:t>贷款合同、借款借据及贷款入账的银行回单、利息发票、利息支付单据（银行回单）、银行流水等能证明企业真实性及贷款（利息）真实性材料的复印件</w:t>
      </w:r>
      <w:r>
        <w:rPr>
          <w:rFonts w:hint="default" w:ascii="Times New Roman" w:hAnsi="Times New Roman" w:eastAsia="仿宋_GB2312" w:cs="Times New Roman"/>
          <w:color w:val="000000"/>
          <w:kern w:val="0"/>
          <w:sz w:val="32"/>
          <w:szCs w:val="32"/>
          <w:lang w:val="en-US" w:eastAsia="zh-CN" w:bidi="ar"/>
        </w:rPr>
        <w:t>，材料字迹清晰无涂改，并加盖公章（每个贷款合同及产生的相关利息单据等合并为一个PDF上传，即有几份贷款合同就上传几份PDF）；</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2021年、2022年、2023年度审计报告（需体现营业收入、主营业务收入、研发费用、资产负债等数据，若年度审计报告未体现研发费用数据可提供研发专项审计报告。2022年审计报告包含2021年数据的，则无需提供2021年审计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（6）2025年省级制造业当家重点任务保障专项资金专精特新贷款贴息项目入库审核明细表（附件3，可编辑电子版）；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（二）形式审查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线上申报结束后，由市工信局组织开展形式审查，对申报单位申报资格进行初步审核。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（三）现场审核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市工信局组织开展，初定于7月底8月初进行，具体时间地点另行通知，</w:t>
      </w:r>
      <w:r>
        <w:rPr>
          <w:rFonts w:hint="default" w:ascii="Times New Roman" w:hAnsi="Times New Roman" w:eastAsia="仿宋_GB2312" w:cs="Times New Roman"/>
          <w:sz w:val="32"/>
          <w:szCs w:val="32"/>
          <w:lang w:val="en-US" w:eastAsia="zh-CN"/>
        </w:rPr>
        <w:t>现场审核需提交的材料如下：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（1）线上导出的申报书（带水印），一式两份，加盖公章，</w:t>
      </w:r>
      <w:r>
        <w:rPr>
          <w:rFonts w:hint="default" w:ascii="Times New Roman" w:hAnsi="Times New Roman" w:eastAsia="仿宋_GB2312" w:cs="Times New Roman"/>
          <w:color w:val="000000"/>
          <w:kern w:val="0"/>
          <w:sz w:val="32"/>
          <w:szCs w:val="32"/>
          <w:lang w:val="en-US" w:eastAsia="zh-CN" w:bidi="ar"/>
        </w:rPr>
        <w:t>A4纸双面打印，并胶装成册，</w:t>
      </w:r>
      <w:r>
        <w:rPr>
          <w:rFonts w:hint="default" w:ascii="Times New Roman" w:hAnsi="Times New Roman" w:eastAsia="仿宋_GB2312" w:cs="Times New Roman"/>
          <w:b/>
          <w:bCs/>
          <w:color w:val="000000"/>
          <w:kern w:val="0"/>
          <w:sz w:val="32"/>
          <w:szCs w:val="32"/>
          <w:lang w:val="en-US" w:eastAsia="zh-CN" w:bidi="ar"/>
        </w:rPr>
        <w:t>现场提交不退回</w:t>
      </w:r>
      <w:r>
        <w:rPr>
          <w:rFonts w:hint="default"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kern w:val="0"/>
          <w:sz w:val="32"/>
          <w:szCs w:val="32"/>
          <w:lang w:val="en-US" w:eastAsia="zh-CN" w:bidi="ar"/>
        </w:rPr>
        <w:t>2025年省级制造业当家重点任务保障专项资金专精特新贷款贴息项目入库审核</w:t>
      </w:r>
      <w:r>
        <w:rPr>
          <w:rFonts w:hint="eastAsia" w:ascii="仿宋_GB2312" w:hAnsi="仿宋_GB2312" w:eastAsia="仿宋_GB2312" w:cs="仿宋_GB2312"/>
          <w:color w:val="000000"/>
          <w:kern w:val="0"/>
          <w:sz w:val="32"/>
          <w:szCs w:val="32"/>
          <w:lang w:val="en-US" w:eastAsia="zh-CN" w:bidi="ar"/>
        </w:rPr>
        <w:t>明细表，</w:t>
      </w:r>
      <w:r>
        <w:rPr>
          <w:rFonts w:hint="eastAsia" w:ascii="仿宋_GB2312" w:hAnsi="仿宋_GB2312" w:eastAsia="仿宋_GB2312" w:cs="仿宋_GB2312"/>
          <w:b w:val="0"/>
          <w:bCs w:val="0"/>
          <w:color w:val="000000"/>
          <w:kern w:val="0"/>
          <w:sz w:val="32"/>
          <w:szCs w:val="32"/>
          <w:lang w:val="en-US" w:eastAsia="zh-CN" w:bidi="ar"/>
        </w:rPr>
        <w:t>装订成册，一式两份，加盖公章，</w:t>
      </w:r>
      <w:r>
        <w:rPr>
          <w:rFonts w:hint="eastAsia" w:ascii="仿宋_GB2312" w:hAnsi="仿宋_GB2312" w:eastAsia="仿宋_GB2312" w:cs="仿宋_GB2312"/>
          <w:b/>
          <w:bCs/>
          <w:color w:val="000000"/>
          <w:kern w:val="0"/>
          <w:sz w:val="32"/>
          <w:szCs w:val="32"/>
          <w:lang w:val="en-US" w:eastAsia="zh-CN" w:bidi="ar"/>
        </w:rPr>
        <w:t>现场提交不退回</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2023年度税务申报表原件，包括2023年年度所得</w:t>
      </w:r>
      <w:bookmarkStart w:id="0" w:name="_GoBack"/>
      <w:bookmarkEnd w:id="0"/>
      <w:r>
        <w:rPr>
          <w:rFonts w:hint="default" w:ascii="Times New Roman" w:hAnsi="Times New Roman" w:eastAsia="仿宋_GB2312" w:cs="Times New Roman"/>
          <w:color w:val="000000"/>
          <w:kern w:val="0"/>
          <w:sz w:val="32"/>
          <w:szCs w:val="32"/>
          <w:lang w:val="en-US" w:eastAsia="zh-CN" w:bidi="ar"/>
        </w:rPr>
        <w:t>税申报表和2023年12月增值税申报表，核验后退回；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）包括但不限于</w:t>
      </w:r>
      <w:r>
        <w:rPr>
          <w:rFonts w:hint="default" w:ascii="Times New Roman" w:hAnsi="Times New Roman" w:eastAsia="仿宋_GB2312" w:cs="Times New Roman"/>
          <w:b w:val="0"/>
          <w:bCs w:val="0"/>
          <w:color w:val="000000"/>
          <w:kern w:val="0"/>
          <w:sz w:val="32"/>
          <w:szCs w:val="32"/>
          <w:lang w:val="en-US" w:eastAsia="zh-CN" w:bidi="ar"/>
        </w:rPr>
        <w:t>贷款合同、借款借据及贷款入账的银行回单、利息发票、利息支付单据（银行回单）、银行流水等能证明企业真实性及贷款（利息）真实性材料</w:t>
      </w:r>
      <w:r>
        <w:rPr>
          <w:rFonts w:hint="default" w:ascii="Times New Roman" w:hAnsi="Times New Roman" w:eastAsia="仿宋_GB2312" w:cs="Times New Roman"/>
          <w:color w:val="000000"/>
          <w:kern w:val="0"/>
          <w:sz w:val="32"/>
          <w:szCs w:val="32"/>
          <w:lang w:val="en-US" w:eastAsia="zh-CN" w:bidi="ar"/>
        </w:rPr>
        <w:t>原件，原件应与线上上传材料保持一致，核验后退回；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）2021年、2022年、2023年度审计报告原件，核验后退回。</w:t>
      </w:r>
    </w:p>
    <w:p>
      <w:pPr>
        <w:tabs>
          <w:tab w:val="left" w:pos="2062"/>
        </w:tabs>
        <w:jc w:val="center"/>
        <w:rPr>
          <w:rFonts w:hint="default" w:ascii="Times New Roman" w:hAnsi="Times New Roman" w:eastAsia="方正小标宋简体" w:cs="Times New Roman"/>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C54A89F-CBFF-4364-8DCC-72C446A328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E37FBCA5-E384-46D7-B0F1-5E7E510D2DA2}"/>
  </w:font>
  <w:font w:name="仿宋_GB2312">
    <w:panose1 w:val="02010609030101010101"/>
    <w:charset w:val="86"/>
    <w:family w:val="auto"/>
    <w:pitch w:val="default"/>
    <w:sig w:usb0="00000001" w:usb1="080E0000" w:usb2="00000000" w:usb3="00000000" w:csb0="00040000" w:csb1="00000000"/>
    <w:embedRegular r:id="rId3" w:fontKey="{56C8FC1C-381A-485F-8B1D-B8E675D0DA89}"/>
  </w:font>
  <w:font w:name="楷体_GB2312">
    <w:panose1 w:val="02010609030101010101"/>
    <w:charset w:val="86"/>
    <w:family w:val="auto"/>
    <w:pitch w:val="default"/>
    <w:sig w:usb0="00000001" w:usb1="080E0000" w:usb2="00000000" w:usb3="00000000" w:csb0="00040000" w:csb1="00000000"/>
    <w:embedRegular r:id="rId4" w:fontKey="{235727BA-DB47-4FB0-80FB-E611AEB687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YmY5NWVmNDk1M2RhOGYwOTNiN2Y2NGQ5NmFiYmUifQ=="/>
  </w:docVars>
  <w:rsids>
    <w:rsidRoot w:val="3A053842"/>
    <w:rsid w:val="3A053842"/>
    <w:rsid w:val="42A141CF"/>
    <w:rsid w:val="7653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1272</Words>
  <Characters>1396</Characters>
  <Lines>0</Lines>
  <Paragraphs>0</Paragraphs>
  <TotalTime>1</TotalTime>
  <ScaleCrop>false</ScaleCrop>
  <LinksUpToDate>false</LinksUpToDate>
  <CharactersWithSpaces>1396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2024-07-03T07:51:00Z</dcterms:created>
  <dc:creator>黎LLll</dc:creator>
  <cp:lastModifiedBy>黎LLll</cp:lastModifiedBy>
  <dcterms:modified xsi:type="dcterms:W3CDTF">2024-07-03T08:43:09Z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82AA3429B72749B8A7F994A51284FC28_11</vt:lpwstr>
  </property>
</Properties>
</file>