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C7" w:rsidRDefault="00F57C8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东莞市“倍增企业”核心团队贡献奖励项目</w:t>
      </w:r>
    </w:p>
    <w:p w:rsidR="009E12C7" w:rsidRDefault="00F57C8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实施细则</w:t>
      </w:r>
    </w:p>
    <w:p w:rsidR="009E12C7" w:rsidRDefault="00F57C8D">
      <w:pPr>
        <w:widowControl/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征求意见稿）</w:t>
      </w:r>
    </w:p>
    <w:p w:rsidR="009E12C7" w:rsidRDefault="009E12C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</w:p>
    <w:p w:rsidR="009E12C7" w:rsidRDefault="00F57C8D">
      <w:pPr>
        <w:widowControl/>
        <w:spacing w:line="640" w:lineRule="exact"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Times New Roman" w:eastAsia="黑体" w:hAnsi="Times New Roman"/>
          <w:color w:val="000000"/>
          <w:kern w:val="0"/>
          <w:sz w:val="31"/>
          <w:szCs w:val="31"/>
          <w:lang/>
        </w:rPr>
        <w:t>第一条</w:t>
      </w:r>
      <w:r>
        <w:rPr>
          <w:rFonts w:ascii="Times New Roman" w:eastAsia="黑体" w:hAnsi="Times New Roman" w:hint="eastAsia"/>
          <w:color w:val="000000"/>
          <w:kern w:val="0"/>
          <w:sz w:val="31"/>
          <w:szCs w:val="31"/>
          <w:lang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本项目属于《关于推进“倍增企业”高质量发展的若干措施》中“倍增计划”资金配套扶持专项。为深入贯彻落实国家、省关于推进新型工业化的决策部署，加大优质企业培育力度，支持倍增企业高质量发展，留住倍增企业的核心技术骨干及中高层管理人员，围绕倍增企业规模与效益发展情况开展综合评价，根据评价结果拟对倍增企业核心团队给予相应奖励。</w:t>
      </w:r>
    </w:p>
    <w:p w:rsidR="009E12C7" w:rsidRDefault="00F57C8D">
      <w:pPr>
        <w:widowControl/>
        <w:spacing w:line="640" w:lineRule="exact"/>
        <w:ind w:firstLineChars="200" w:firstLine="620"/>
        <w:rPr>
          <w:rFonts w:ascii="Times New Roman" w:eastAsia="黑体" w:hAnsi="Times New Roman"/>
          <w:color w:val="000000"/>
          <w:kern w:val="0"/>
          <w:sz w:val="31"/>
          <w:szCs w:val="31"/>
          <w:lang/>
        </w:rPr>
      </w:pPr>
      <w:r>
        <w:rPr>
          <w:rFonts w:ascii="Times New Roman" w:eastAsia="黑体" w:hAnsi="Times New Roman" w:hint="eastAsia"/>
          <w:color w:val="000000"/>
          <w:kern w:val="0"/>
          <w:sz w:val="31"/>
          <w:szCs w:val="31"/>
          <w:lang/>
        </w:rPr>
        <w:t>第二条</w:t>
      </w:r>
      <w:r>
        <w:rPr>
          <w:rFonts w:ascii="Times New Roman" w:eastAsia="黑体" w:hAnsi="Times New Roman" w:hint="eastAsia"/>
          <w:color w:val="000000"/>
          <w:kern w:val="0"/>
          <w:sz w:val="31"/>
          <w:szCs w:val="31"/>
          <w:lang/>
        </w:rPr>
        <w:t xml:space="preserve"> </w:t>
      </w:r>
      <w:r>
        <w:rPr>
          <w:rFonts w:ascii="Times New Roman" w:eastAsia="黑体" w:hAnsi="Times New Roman" w:hint="eastAsia"/>
          <w:color w:val="000000"/>
          <w:kern w:val="0"/>
          <w:sz w:val="31"/>
          <w:szCs w:val="31"/>
          <w:lang/>
        </w:rPr>
        <w:t>申请对象</w:t>
      </w:r>
      <w:r>
        <w:rPr>
          <w:rFonts w:ascii="Times New Roman" w:eastAsia="黑体" w:hAnsi="Times New Roman" w:hint="eastAsia"/>
          <w:color w:val="000000"/>
          <w:kern w:val="0"/>
          <w:sz w:val="31"/>
          <w:szCs w:val="31"/>
          <w:lang/>
        </w:rPr>
        <w:t xml:space="preserve"> </w:t>
      </w:r>
      <w:bookmarkStart w:id="0" w:name="_GoBack"/>
      <w:bookmarkEnd w:id="0"/>
    </w:p>
    <w:p w:rsidR="009E12C7" w:rsidRDefault="00F57C8D">
      <w:pPr>
        <w:pStyle w:val="a0"/>
        <w:numPr>
          <w:ilvl w:val="255"/>
          <w:numId w:val="0"/>
        </w:numPr>
        <w:ind w:firstLineChars="200" w:firstLine="640"/>
      </w:pPr>
      <w:r>
        <w:rPr>
          <w:rFonts w:hint="eastAsia"/>
          <w:szCs w:val="32"/>
        </w:rPr>
        <w:t>东莞市</w:t>
      </w:r>
      <w:r>
        <w:rPr>
          <w:rFonts w:hint="eastAsia"/>
          <w:szCs w:val="32"/>
        </w:rPr>
        <w:t>“倍增企业”，</w:t>
      </w:r>
      <w:r>
        <w:rPr>
          <w:rFonts w:hint="eastAsia"/>
          <w:szCs w:val="32"/>
        </w:rPr>
        <w:t>包含</w:t>
      </w:r>
      <w:r>
        <w:rPr>
          <w:rFonts w:hint="eastAsia"/>
          <w:szCs w:val="32"/>
        </w:rPr>
        <w:t>在库</w:t>
      </w:r>
      <w:r>
        <w:rPr>
          <w:rFonts w:hint="eastAsia"/>
          <w:szCs w:val="32"/>
        </w:rPr>
        <w:t>名誉试点企业、试点企业</w:t>
      </w:r>
      <w:r>
        <w:rPr>
          <w:rFonts w:hint="eastAsia"/>
          <w:szCs w:val="32"/>
        </w:rPr>
        <w:t>和</w:t>
      </w:r>
      <w:r>
        <w:rPr>
          <w:rFonts w:hint="eastAsia"/>
          <w:szCs w:val="32"/>
        </w:rPr>
        <w:t>2024</w:t>
      </w:r>
      <w:r>
        <w:rPr>
          <w:rFonts w:hint="eastAsia"/>
          <w:szCs w:val="32"/>
        </w:rPr>
        <w:t>年后</w:t>
      </w:r>
      <w:r>
        <w:rPr>
          <w:rFonts w:hint="eastAsia"/>
          <w:szCs w:val="32"/>
        </w:rPr>
        <w:t>新遴选纳入企业统称“倍增企业”</w:t>
      </w:r>
      <w:r>
        <w:rPr>
          <w:rFonts w:hint="eastAsia"/>
          <w:szCs w:val="32"/>
        </w:rPr>
        <w:t>。其中，名誉试点企业是指上年度营业收入或产值规模超</w:t>
      </w:r>
      <w:r>
        <w:rPr>
          <w:szCs w:val="32"/>
        </w:rPr>
        <w:t>50</w:t>
      </w:r>
      <w:r>
        <w:rPr>
          <w:rFonts w:hint="eastAsia"/>
          <w:szCs w:val="32"/>
        </w:rPr>
        <w:t>亿元，或者在倍增期限内提前完成营业收入倍增的企业。</w:t>
      </w:r>
    </w:p>
    <w:p w:rsidR="009E12C7" w:rsidRDefault="00F57C8D">
      <w:pPr>
        <w:widowControl/>
        <w:spacing w:line="640" w:lineRule="exact"/>
        <w:ind w:firstLineChars="200" w:firstLine="620"/>
        <w:rPr>
          <w:rFonts w:ascii="Times New Roman" w:eastAsia="黑体" w:hAnsi="Times New Roman"/>
          <w:color w:val="000000"/>
          <w:kern w:val="0"/>
          <w:sz w:val="31"/>
          <w:szCs w:val="31"/>
          <w:lang/>
        </w:rPr>
      </w:pPr>
      <w:r>
        <w:rPr>
          <w:rFonts w:ascii="Times New Roman" w:eastAsia="黑体" w:hAnsi="Times New Roman" w:hint="eastAsia"/>
          <w:color w:val="000000"/>
          <w:kern w:val="0"/>
          <w:sz w:val="31"/>
          <w:szCs w:val="31"/>
          <w:lang/>
        </w:rPr>
        <w:t>第三条</w:t>
      </w:r>
      <w:r>
        <w:rPr>
          <w:rFonts w:ascii="Times New Roman" w:eastAsia="黑体" w:hAnsi="Times New Roman" w:hint="eastAsia"/>
          <w:color w:val="000000"/>
          <w:kern w:val="0"/>
          <w:sz w:val="31"/>
          <w:szCs w:val="31"/>
          <w:lang/>
        </w:rPr>
        <w:t xml:space="preserve"> </w:t>
      </w:r>
      <w:r>
        <w:rPr>
          <w:rFonts w:ascii="Times New Roman" w:eastAsia="黑体" w:hAnsi="Times New Roman"/>
          <w:color w:val="000000"/>
          <w:kern w:val="0"/>
          <w:sz w:val="31"/>
          <w:szCs w:val="31"/>
          <w:lang/>
        </w:rPr>
        <w:t>申报</w:t>
      </w:r>
      <w:r>
        <w:rPr>
          <w:rFonts w:ascii="Times New Roman" w:eastAsia="黑体" w:hAnsi="Times New Roman" w:hint="eastAsia"/>
          <w:color w:val="000000"/>
          <w:kern w:val="0"/>
          <w:sz w:val="31"/>
          <w:szCs w:val="31"/>
          <w:lang/>
        </w:rPr>
        <w:t>条件</w:t>
      </w:r>
      <w:r>
        <w:rPr>
          <w:rFonts w:ascii="Times New Roman" w:eastAsia="黑体" w:hAnsi="Times New Roman"/>
          <w:color w:val="000000"/>
          <w:kern w:val="0"/>
          <w:sz w:val="31"/>
          <w:szCs w:val="31"/>
          <w:lang/>
        </w:rPr>
        <w:t xml:space="preserve"> </w:t>
      </w:r>
    </w:p>
    <w:p w:rsidR="009E12C7" w:rsidRDefault="00F57C8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hint="eastAsia"/>
          <w:sz w:val="32"/>
          <w:szCs w:val="32"/>
        </w:rPr>
        <w:t>“倍增企业”</w:t>
      </w:r>
      <w:r>
        <w:rPr>
          <w:rFonts w:ascii="Times New Roman" w:eastAsia="仿宋_GB2312" w:hAnsi="Times New Roman" w:hint="eastAsia"/>
          <w:sz w:val="32"/>
          <w:szCs w:val="32"/>
        </w:rPr>
        <w:t>核心团队</w:t>
      </w:r>
      <w:r>
        <w:rPr>
          <w:rFonts w:ascii="Times New Roman" w:eastAsia="仿宋_GB2312" w:hAnsi="Times New Roman" w:hint="eastAsia"/>
          <w:sz w:val="32"/>
          <w:szCs w:val="32"/>
        </w:rPr>
        <w:t>奖励项目，需</w:t>
      </w:r>
      <w:r>
        <w:rPr>
          <w:rFonts w:ascii="Times New Roman" w:eastAsia="仿宋_GB2312" w:hAnsi="Times New Roman" w:hint="eastAsia"/>
          <w:sz w:val="32"/>
          <w:szCs w:val="32"/>
        </w:rPr>
        <w:t>同时满足以下条件：</w:t>
      </w:r>
    </w:p>
    <w:p w:rsidR="009E12C7" w:rsidRDefault="00F57C8D">
      <w:pPr>
        <w:numPr>
          <w:ilvl w:val="0"/>
          <w:numId w:val="1"/>
        </w:num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名誉试点企业</w:t>
      </w:r>
      <w:r>
        <w:rPr>
          <w:rFonts w:ascii="Times New Roman" w:eastAsia="仿宋_GB2312" w:hAnsi="Times New Roman" w:hint="eastAsia"/>
          <w:sz w:val="32"/>
          <w:szCs w:val="32"/>
        </w:rPr>
        <w:t>正增长，其它倍增</w:t>
      </w:r>
      <w:r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上</w:t>
      </w:r>
      <w:r>
        <w:rPr>
          <w:rFonts w:ascii="Times New Roman" w:eastAsia="仿宋_GB2312" w:hAnsi="Times New Roman"/>
          <w:sz w:val="32"/>
          <w:szCs w:val="32"/>
        </w:rPr>
        <w:t>年度营业收入增长达</w:t>
      </w:r>
      <w:r>
        <w:rPr>
          <w:rFonts w:ascii="Times New Roman" w:eastAsia="仿宋_GB2312" w:hAnsi="Times New Roman"/>
          <w:sz w:val="32"/>
          <w:szCs w:val="32"/>
        </w:rPr>
        <w:t>15%</w:t>
      </w:r>
      <w:r>
        <w:rPr>
          <w:rFonts w:ascii="Times New Roman" w:eastAsia="仿宋_GB2312" w:hAnsi="Times New Roman"/>
          <w:sz w:val="32"/>
          <w:szCs w:val="32"/>
        </w:rPr>
        <w:t>（含）以上</w:t>
      </w:r>
      <w:r>
        <w:rPr>
          <w:rFonts w:ascii="Times New Roman" w:eastAsia="仿宋_GB2312" w:hAnsi="Times New Roman" w:hint="eastAsia"/>
          <w:sz w:val="32"/>
          <w:szCs w:val="32"/>
        </w:rPr>
        <w:t>；</w:t>
      </w:r>
    </w:p>
    <w:p w:rsidR="009E12C7" w:rsidRDefault="00F57C8D">
      <w:pPr>
        <w:pStyle w:val="a0"/>
      </w:pPr>
      <w:r>
        <w:rPr>
          <w:rFonts w:hint="eastAsia"/>
          <w:szCs w:val="32"/>
        </w:rPr>
        <w:t>（二）工业和</w:t>
      </w:r>
      <w:proofErr w:type="gramStart"/>
      <w:r>
        <w:rPr>
          <w:rFonts w:hint="eastAsia"/>
          <w:szCs w:val="32"/>
        </w:rPr>
        <w:t>商服类企业</w:t>
      </w:r>
      <w:proofErr w:type="gramEnd"/>
      <w:r>
        <w:rPr>
          <w:rFonts w:hint="eastAsia"/>
          <w:szCs w:val="32"/>
        </w:rPr>
        <w:t>上年度</w:t>
      </w:r>
      <w:r>
        <w:rPr>
          <w:szCs w:val="32"/>
        </w:rPr>
        <w:t>营业收入增</w:t>
      </w:r>
      <w:r>
        <w:rPr>
          <w:rFonts w:hint="eastAsia"/>
          <w:szCs w:val="32"/>
        </w:rPr>
        <w:t>量达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亿元以上；</w:t>
      </w:r>
      <w:r>
        <w:rPr>
          <w:rFonts w:hint="eastAsia"/>
          <w:szCs w:val="32"/>
        </w:rPr>
        <w:lastRenderedPageBreak/>
        <w:t>软件与信息技术服务业</w:t>
      </w:r>
      <w:r>
        <w:rPr>
          <w:szCs w:val="32"/>
        </w:rPr>
        <w:t>企业</w:t>
      </w:r>
      <w:r>
        <w:rPr>
          <w:szCs w:val="32"/>
        </w:rPr>
        <w:t>上年度</w:t>
      </w:r>
      <w:r>
        <w:rPr>
          <w:szCs w:val="32"/>
        </w:rPr>
        <w:t>营业收入增</w:t>
      </w:r>
      <w:r>
        <w:rPr>
          <w:szCs w:val="32"/>
        </w:rPr>
        <w:t>量达</w:t>
      </w:r>
      <w:r>
        <w:rPr>
          <w:szCs w:val="32"/>
        </w:rPr>
        <w:t>1</w:t>
      </w:r>
      <w:r>
        <w:rPr>
          <w:szCs w:val="32"/>
        </w:rPr>
        <w:t>亿元以上</w:t>
      </w:r>
      <w:r>
        <w:rPr>
          <w:rFonts w:hint="eastAsia"/>
          <w:szCs w:val="32"/>
        </w:rPr>
        <w:t>；</w:t>
      </w:r>
    </w:p>
    <w:p w:rsidR="009E12C7" w:rsidRDefault="00F57C8D">
      <w:pPr>
        <w:pStyle w:val="a7"/>
        <w:widowControl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/>
        </w:rPr>
        <w:t>（三）</w:t>
      </w:r>
      <w:r>
        <w:rPr>
          <w:rFonts w:ascii="仿宋_GB2312" w:eastAsia="仿宋_GB2312" w:hint="eastAsia"/>
          <w:sz w:val="32"/>
          <w:szCs w:val="32"/>
          <w:lang/>
        </w:rPr>
        <w:t>企业核心团队成员不超过</w:t>
      </w:r>
      <w:r>
        <w:rPr>
          <w:rFonts w:ascii="仿宋_GB2312" w:eastAsia="仿宋_GB2312" w:hint="eastAsia"/>
          <w:sz w:val="32"/>
          <w:szCs w:val="32"/>
          <w:lang/>
        </w:rPr>
        <w:t>10</w:t>
      </w:r>
      <w:r>
        <w:rPr>
          <w:rFonts w:ascii="仿宋_GB2312" w:eastAsia="仿宋_GB2312" w:hint="eastAsia"/>
          <w:sz w:val="32"/>
          <w:szCs w:val="32"/>
          <w:lang/>
        </w:rPr>
        <w:t>人，</w:t>
      </w:r>
      <w:r>
        <w:rPr>
          <w:rFonts w:ascii="仿宋_GB2312" w:eastAsia="仿宋_GB2312" w:hint="eastAsia"/>
          <w:sz w:val="32"/>
          <w:szCs w:val="32"/>
          <w:lang/>
        </w:rPr>
        <w:t>不少于</w:t>
      </w:r>
      <w:r>
        <w:rPr>
          <w:rFonts w:ascii="仿宋_GB2312" w:eastAsia="仿宋_GB2312" w:hint="eastAsia"/>
          <w:sz w:val="32"/>
          <w:szCs w:val="32"/>
          <w:lang/>
        </w:rPr>
        <w:t>3</w:t>
      </w:r>
      <w:r>
        <w:rPr>
          <w:rFonts w:ascii="仿宋_GB2312" w:eastAsia="仿宋_GB2312" w:hint="eastAsia"/>
          <w:sz w:val="32"/>
          <w:szCs w:val="32"/>
          <w:lang/>
        </w:rPr>
        <w:t>人，</w:t>
      </w:r>
      <w:r>
        <w:rPr>
          <w:rFonts w:ascii="仿宋_GB2312" w:eastAsia="仿宋_GB2312" w:hint="eastAsia"/>
          <w:sz w:val="32"/>
          <w:szCs w:val="32"/>
          <w:lang/>
        </w:rPr>
        <w:t>由企业自主决定</w:t>
      </w:r>
      <w:r>
        <w:rPr>
          <w:rFonts w:ascii="仿宋_GB2312" w:eastAsia="仿宋_GB2312" w:hint="eastAsia"/>
          <w:sz w:val="32"/>
          <w:szCs w:val="32"/>
          <w:lang/>
        </w:rPr>
        <w:t>。企业可根据实际情况在本公司、子公司或分公司进行名额自行调配。</w:t>
      </w:r>
      <w:r>
        <w:rPr>
          <w:rFonts w:ascii="仿宋_GB2312" w:eastAsia="仿宋_GB2312" w:hint="eastAsia"/>
          <w:sz w:val="32"/>
          <w:szCs w:val="32"/>
          <w:lang/>
        </w:rPr>
        <w:t>核心团队是指在企业中，负责企业基本运作、完成企业一系列目标职能的团队。核心团队成员</w:t>
      </w:r>
      <w:r>
        <w:rPr>
          <w:rFonts w:ascii="仿宋_GB2312" w:eastAsia="仿宋_GB2312" w:hint="eastAsia"/>
          <w:sz w:val="32"/>
          <w:szCs w:val="32"/>
          <w:lang/>
        </w:rPr>
        <w:t>主要</w:t>
      </w:r>
      <w:r>
        <w:rPr>
          <w:rFonts w:ascii="仿宋_GB2312" w:eastAsia="仿宋_GB2312" w:hint="eastAsia"/>
          <w:sz w:val="32"/>
          <w:szCs w:val="32"/>
          <w:lang/>
        </w:rPr>
        <w:t>是指</w:t>
      </w:r>
      <w:r>
        <w:rPr>
          <w:rFonts w:ascii="仿宋_GB2312" w:eastAsia="仿宋_GB2312" w:hint="eastAsia"/>
          <w:sz w:val="32"/>
          <w:szCs w:val="32"/>
          <w:lang/>
        </w:rPr>
        <w:t>在企业担任重要岗位并做出突出贡献的人员，</w:t>
      </w:r>
      <w:r>
        <w:rPr>
          <w:rFonts w:ascii="Times New Roman" w:eastAsia="仿宋_GB2312" w:hAnsi="Times New Roman"/>
          <w:kern w:val="2"/>
          <w:sz w:val="32"/>
          <w:szCs w:val="32"/>
        </w:rPr>
        <w:t>一般包括企业高级管理人员以及领军型人才、关键岗位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技术</w:t>
      </w:r>
      <w:r>
        <w:rPr>
          <w:rFonts w:ascii="Times New Roman" w:eastAsia="仿宋_GB2312" w:hAnsi="Times New Roman"/>
          <w:kern w:val="2"/>
          <w:sz w:val="32"/>
          <w:szCs w:val="32"/>
        </w:rPr>
        <w:t>人员等</w:t>
      </w:r>
      <w:r>
        <w:rPr>
          <w:rFonts w:ascii="仿宋_GB2312" w:eastAsia="仿宋_GB2312" w:hint="eastAsia"/>
          <w:sz w:val="32"/>
          <w:szCs w:val="32"/>
          <w:lang/>
        </w:rPr>
        <w:t>；</w:t>
      </w:r>
    </w:p>
    <w:p w:rsidR="009E12C7" w:rsidRDefault="00F57C8D">
      <w:pPr>
        <w:pStyle w:val="a7"/>
        <w:widowControl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  <w:lang/>
        </w:rPr>
        <w:t>企业核心团队成员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与所在企业已签订一年及以上劳动合同；</w:t>
      </w:r>
    </w:p>
    <w:p w:rsidR="009E12C7" w:rsidRDefault="00F57C8D">
      <w:pPr>
        <w:pStyle w:val="a7"/>
        <w:widowControl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五</w:t>
      </w:r>
      <w:r>
        <w:rPr>
          <w:rFonts w:ascii="Times New Roman" w:eastAsia="仿宋_GB2312" w:hAnsi="Times New Roman"/>
          <w:kern w:val="2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企业不</w:t>
      </w:r>
      <w:r>
        <w:rPr>
          <w:rFonts w:ascii="Times New Roman" w:eastAsia="仿宋_GB2312" w:hAnsi="Times New Roman"/>
          <w:kern w:val="2"/>
          <w:sz w:val="32"/>
          <w:szCs w:val="32"/>
        </w:rPr>
        <w:t>存在《关于东莞市促进经济发展类专项资金不予资助范围的若干规定》（东财</w:t>
      </w:r>
      <w:proofErr w:type="gramStart"/>
      <w:r>
        <w:rPr>
          <w:rFonts w:ascii="Times New Roman" w:eastAsia="仿宋_GB2312" w:hAnsi="Times New Roman"/>
          <w:kern w:val="2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kern w:val="2"/>
          <w:sz w:val="32"/>
          <w:szCs w:val="32"/>
        </w:rPr>
        <w:t>〔</w:t>
      </w:r>
      <w:r>
        <w:rPr>
          <w:rFonts w:ascii="Times New Roman" w:eastAsia="仿宋_GB2312" w:hAnsi="Times New Roman"/>
          <w:kern w:val="2"/>
          <w:sz w:val="32"/>
          <w:szCs w:val="32"/>
        </w:rPr>
        <w:t>2023</w:t>
      </w:r>
      <w:r>
        <w:rPr>
          <w:rFonts w:ascii="Times New Roman" w:eastAsia="仿宋_GB2312" w:hAnsi="Times New Roman"/>
          <w:kern w:val="2"/>
          <w:sz w:val="32"/>
          <w:szCs w:val="32"/>
        </w:rPr>
        <w:t>〕</w:t>
      </w:r>
      <w:r>
        <w:rPr>
          <w:rFonts w:ascii="Times New Roman" w:eastAsia="仿宋_GB2312" w:hAnsi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/>
          <w:kern w:val="2"/>
          <w:sz w:val="32"/>
          <w:szCs w:val="32"/>
        </w:rPr>
        <w:t>号）所规定的不予资助情况。</w:t>
      </w:r>
    </w:p>
    <w:p w:rsidR="009E12C7" w:rsidRDefault="00F57C8D">
      <w:pPr>
        <w:pStyle w:val="a7"/>
        <w:widowControl/>
        <w:shd w:val="clear" w:color="auto" w:fill="FFFFFF"/>
        <w:spacing w:before="0" w:beforeAutospacing="0" w:after="0" w:afterAutospacing="0" w:line="64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  </w:t>
      </w:r>
      <w:r>
        <w:rPr>
          <w:rFonts w:ascii="Times New Roman" w:eastAsia="黑体" w:hAnsi="Times New Roman"/>
          <w:color w:val="000000"/>
          <w:sz w:val="31"/>
          <w:szCs w:val="31"/>
          <w:lang/>
        </w:rPr>
        <w:t>第四条</w:t>
      </w:r>
      <w:r>
        <w:rPr>
          <w:rFonts w:ascii="Times New Roman" w:eastAsia="黑体" w:hAnsi="Times New Roman"/>
          <w:color w:val="000000"/>
          <w:sz w:val="31"/>
          <w:szCs w:val="31"/>
          <w:lang/>
        </w:rPr>
        <w:t xml:space="preserve"> </w:t>
      </w:r>
      <w:r>
        <w:rPr>
          <w:rFonts w:ascii="Times New Roman" w:eastAsia="黑体" w:hAnsi="Times New Roman" w:hint="eastAsia"/>
          <w:color w:val="000000"/>
          <w:sz w:val="31"/>
          <w:szCs w:val="31"/>
          <w:lang/>
        </w:rPr>
        <w:t>资助标准</w:t>
      </w:r>
    </w:p>
    <w:p w:rsidR="009E12C7" w:rsidRDefault="00F57C8D">
      <w:pPr>
        <w:pStyle w:val="a7"/>
        <w:widowControl/>
        <w:shd w:val="clear" w:color="auto" w:fill="FFFFFF"/>
        <w:spacing w:before="0" w:beforeAutospacing="0" w:after="0" w:afterAutospacing="0" w:line="64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  <w:lang/>
        </w:rPr>
        <w:t>符合条件的每家倍增企业</w:t>
      </w:r>
      <w:r>
        <w:rPr>
          <w:rFonts w:ascii="Times New Roman" w:eastAsia="仿宋_GB2312" w:hAnsi="Times New Roman"/>
          <w:kern w:val="2"/>
          <w:sz w:val="32"/>
          <w:szCs w:val="32"/>
        </w:rPr>
        <w:t>给予企业核心团队最高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100</w:t>
      </w:r>
      <w:r>
        <w:rPr>
          <w:rFonts w:ascii="Times New Roman" w:eastAsia="仿宋_GB2312" w:hAnsi="Times New Roman"/>
          <w:kern w:val="2"/>
          <w:sz w:val="32"/>
          <w:szCs w:val="32"/>
        </w:rPr>
        <w:t>万元的一次性奖励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，</w:t>
      </w:r>
      <w:r>
        <w:rPr>
          <w:rFonts w:ascii="Times New Roman" w:eastAsia="仿宋_GB2312" w:hAnsi="Times New Roman"/>
          <w:kern w:val="2"/>
          <w:sz w:val="32"/>
          <w:szCs w:val="32"/>
        </w:rPr>
        <w:t>奖励资金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直接</w:t>
      </w:r>
      <w:r>
        <w:rPr>
          <w:rFonts w:ascii="Times New Roman" w:eastAsia="仿宋_GB2312" w:hAnsi="Times New Roman"/>
          <w:kern w:val="2"/>
          <w:sz w:val="32"/>
          <w:szCs w:val="32"/>
        </w:rPr>
        <w:t>拨付到核心团队个人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。</w:t>
      </w:r>
    </w:p>
    <w:p w:rsidR="009E12C7" w:rsidRDefault="00F57C8D">
      <w:pPr>
        <w:pStyle w:val="a7"/>
        <w:widowControl/>
        <w:numPr>
          <w:ilvl w:val="255"/>
          <w:numId w:val="0"/>
        </w:numPr>
        <w:shd w:val="clear" w:color="auto" w:fill="FFFFFF"/>
        <w:spacing w:before="0" w:beforeAutospacing="0" w:after="0" w:afterAutospacing="0" w:line="640" w:lineRule="exact"/>
        <w:rPr>
          <w:rFonts w:ascii="Times New Roman" w:eastAsia="黑体" w:hAnsi="Times New Roman"/>
          <w:color w:val="000000"/>
          <w:sz w:val="31"/>
          <w:szCs w:val="31"/>
          <w:lang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   </w:t>
      </w:r>
      <w:r>
        <w:rPr>
          <w:rFonts w:ascii="Times New Roman" w:eastAsia="黑体" w:hAnsi="Times New Roman"/>
          <w:color w:val="000000"/>
          <w:sz w:val="31"/>
          <w:szCs w:val="31"/>
          <w:lang/>
        </w:rPr>
        <w:t>第</w:t>
      </w:r>
      <w:r>
        <w:rPr>
          <w:rFonts w:ascii="Times New Roman" w:eastAsia="黑体" w:hAnsi="Times New Roman" w:hint="eastAsia"/>
          <w:color w:val="000000"/>
          <w:sz w:val="31"/>
          <w:szCs w:val="31"/>
          <w:lang/>
        </w:rPr>
        <w:t>五</w:t>
      </w:r>
      <w:r>
        <w:rPr>
          <w:rFonts w:ascii="Times New Roman" w:eastAsia="黑体" w:hAnsi="Times New Roman"/>
          <w:color w:val="000000"/>
          <w:sz w:val="31"/>
          <w:szCs w:val="31"/>
          <w:lang/>
        </w:rPr>
        <w:t>条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color w:val="000000"/>
          <w:sz w:val="31"/>
          <w:szCs w:val="31"/>
          <w:lang/>
        </w:rPr>
        <w:t>申报材料</w:t>
      </w:r>
    </w:p>
    <w:p w:rsidR="009E12C7" w:rsidRDefault="00F57C8D">
      <w:pPr>
        <w:spacing w:line="6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为提高企业获得感，简化流程，本项目将通过“企莞家”平台试行“免申即享”。</w:t>
      </w:r>
      <w:r>
        <w:rPr>
          <w:rFonts w:ascii="Times New Roman" w:eastAsia="仿宋_GB2312" w:hAnsi="Times New Roman" w:hint="eastAsia"/>
          <w:sz w:val="32"/>
          <w:szCs w:val="32"/>
        </w:rPr>
        <w:t>企业只需要在“企莞家”平台上提交</w:t>
      </w:r>
      <w:r>
        <w:rPr>
          <w:rFonts w:ascii="Times New Roman" w:eastAsia="仿宋_GB2312" w:hAnsi="Times New Roman"/>
          <w:kern w:val="0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情况表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和表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（详见附件）。</w:t>
      </w:r>
    </w:p>
    <w:p w:rsidR="009E12C7" w:rsidRDefault="00F57C8D">
      <w:pPr>
        <w:widowControl/>
        <w:spacing w:line="6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 xml:space="preserve">     </w:t>
      </w:r>
      <w:r>
        <w:rPr>
          <w:rFonts w:ascii="Times New Roman" w:eastAsia="黑体" w:hAnsi="Times New Roman"/>
          <w:sz w:val="32"/>
          <w:szCs w:val="32"/>
        </w:rPr>
        <w:t>第</w:t>
      </w:r>
      <w:r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/>
          <w:sz w:val="32"/>
          <w:szCs w:val="32"/>
        </w:rPr>
        <w:t>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工作流程</w:t>
      </w:r>
    </w:p>
    <w:p w:rsidR="009E12C7" w:rsidRDefault="00F57C8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（一）收集符合条件的</w:t>
      </w:r>
      <w:r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核心团队项目情况表</w:t>
      </w:r>
      <w:r>
        <w:rPr>
          <w:rFonts w:ascii="Times New Roman" w:eastAsia="仿宋_GB2312" w:hAnsi="Times New Roman" w:hint="eastAsia"/>
          <w:sz w:val="32"/>
          <w:szCs w:val="32"/>
        </w:rPr>
        <w:t>。市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倍增办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根据企业</w:t>
      </w:r>
      <w:r>
        <w:rPr>
          <w:rFonts w:ascii="Times New Roman" w:eastAsia="仿宋_GB2312" w:hAnsi="Times New Roman" w:hint="eastAsia"/>
          <w:sz w:val="32"/>
          <w:szCs w:val="32"/>
        </w:rPr>
        <w:t>增长和增量</w:t>
      </w:r>
      <w:r>
        <w:rPr>
          <w:rFonts w:ascii="Times New Roman" w:eastAsia="仿宋_GB2312" w:hAnsi="Times New Roman" w:hint="eastAsia"/>
          <w:sz w:val="32"/>
          <w:szCs w:val="32"/>
        </w:rPr>
        <w:t>情况拟出符合条件的企业名单，然后下发通知至各镇街</w:t>
      </w:r>
      <w:r>
        <w:rPr>
          <w:rFonts w:ascii="Times New Roman" w:eastAsia="仿宋_GB2312" w:hAnsi="Times New Roman" w:hint="eastAsia"/>
          <w:sz w:val="32"/>
          <w:szCs w:val="32"/>
        </w:rPr>
        <w:t>（园区）</w:t>
      </w:r>
      <w:r>
        <w:rPr>
          <w:rFonts w:ascii="Times New Roman" w:eastAsia="仿宋_GB2312" w:hAnsi="Times New Roman" w:hint="eastAsia"/>
          <w:sz w:val="32"/>
          <w:szCs w:val="32"/>
        </w:rPr>
        <w:t>，各镇街（园区）根据</w:t>
      </w:r>
      <w:r>
        <w:rPr>
          <w:rFonts w:ascii="Times New Roman" w:eastAsia="仿宋_GB2312" w:hAnsi="Times New Roman" w:hint="eastAsia"/>
          <w:sz w:val="32"/>
          <w:szCs w:val="32"/>
        </w:rPr>
        <w:t>下发的</w:t>
      </w:r>
      <w:r>
        <w:rPr>
          <w:rFonts w:ascii="Times New Roman" w:eastAsia="仿宋_GB2312" w:hAnsi="Times New Roman" w:hint="eastAsia"/>
          <w:sz w:val="32"/>
          <w:szCs w:val="32"/>
        </w:rPr>
        <w:t>名单组织</w:t>
      </w:r>
      <w:r>
        <w:rPr>
          <w:rFonts w:ascii="Times New Roman" w:eastAsia="仿宋_GB2312" w:hAnsi="Times New Roman" w:hint="eastAsia"/>
          <w:sz w:val="32"/>
          <w:szCs w:val="32"/>
        </w:rPr>
        <w:t>辖</w:t>
      </w:r>
      <w:r>
        <w:rPr>
          <w:rFonts w:ascii="Times New Roman" w:eastAsia="仿宋_GB2312" w:hAnsi="Times New Roman" w:hint="eastAsia"/>
          <w:sz w:val="32"/>
          <w:szCs w:val="32"/>
        </w:rPr>
        <w:t>区内企业据实填报</w:t>
      </w:r>
      <w:r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核心团队情况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申报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和表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项目情况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表要求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企业在右上角盖章确认），企业登录“企莞家”平台（</w:t>
      </w:r>
      <w:r>
        <w:rPr>
          <w:rFonts w:ascii="仿宋_GB2312" w:eastAsia="仿宋_GB2312" w:hAnsi="Times New Roman" w:hint="eastAsia"/>
          <w:sz w:val="32"/>
          <w:szCs w:val="32"/>
        </w:rPr>
        <w:t>http://im.dg.gov.cn</w:t>
      </w:r>
      <w:r>
        <w:rPr>
          <w:rFonts w:ascii="Times New Roman" w:eastAsia="仿宋_GB2312" w:hAnsi="Times New Roman" w:hint="eastAsia"/>
          <w:sz w:val="32"/>
          <w:szCs w:val="32"/>
        </w:rPr>
        <w:t>）上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传</w:t>
      </w:r>
      <w:r>
        <w:rPr>
          <w:rFonts w:ascii="Times New Roman" w:eastAsia="仿宋_GB2312" w:hAnsi="Times New Roman"/>
          <w:kern w:val="0"/>
          <w:sz w:val="32"/>
          <w:szCs w:val="32"/>
        </w:rPr>
        <w:t>项目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情况表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E12C7" w:rsidRDefault="00F57C8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征求部门意见</w:t>
      </w:r>
      <w:r>
        <w:rPr>
          <w:rFonts w:ascii="Times New Roman" w:eastAsia="仿宋_GB2312" w:hAnsi="Times New Roman" w:hint="eastAsia"/>
          <w:sz w:val="32"/>
          <w:szCs w:val="32"/>
        </w:rPr>
        <w:t>。市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倍增办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汇总收集</w:t>
      </w:r>
      <w:r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核心团队</w:t>
      </w:r>
      <w:r>
        <w:rPr>
          <w:rFonts w:ascii="Times New Roman" w:eastAsia="仿宋_GB2312" w:hAnsi="Times New Roman"/>
          <w:kern w:val="0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情况表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核实后</w:t>
      </w:r>
      <w:r>
        <w:rPr>
          <w:rFonts w:ascii="Times New Roman" w:eastAsia="仿宋_GB2312" w:hAnsi="Times New Roman" w:hint="eastAsia"/>
          <w:sz w:val="32"/>
          <w:szCs w:val="32"/>
        </w:rPr>
        <w:t>形成初步奖励名单，征求部门</w:t>
      </w:r>
      <w:r>
        <w:rPr>
          <w:rFonts w:ascii="Times New Roman" w:eastAsia="仿宋_GB2312" w:hAnsi="Times New Roman" w:hint="eastAsia"/>
          <w:sz w:val="32"/>
          <w:szCs w:val="32"/>
        </w:rPr>
        <w:t>意见。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其中市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税务局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协助核查受资助企业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营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收增长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和增量情况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同时</w:t>
      </w:r>
      <w:r>
        <w:rPr>
          <w:rFonts w:ascii="Times New Roman" w:eastAsia="仿宋_GB2312" w:hAnsi="Times New Roman" w:hint="eastAsia"/>
          <w:sz w:val="32"/>
          <w:szCs w:val="32"/>
        </w:rPr>
        <w:t>协助核查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受资助企业不予资助情形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E12C7" w:rsidRDefault="00F57C8D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hint="eastAsia"/>
          <w:sz w:val="32"/>
          <w:szCs w:val="32"/>
        </w:rPr>
        <w:t>社会公示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市</w:t>
      </w:r>
      <w:proofErr w:type="gramStart"/>
      <w:r>
        <w:rPr>
          <w:rFonts w:ascii="仿宋_GB2312" w:eastAsia="仿宋_GB2312" w:hAnsi="Times New Roman" w:hint="eastAsia"/>
          <w:kern w:val="0"/>
          <w:sz w:val="32"/>
          <w:szCs w:val="32"/>
        </w:rPr>
        <w:t>倍增办</w:t>
      </w:r>
      <w:proofErr w:type="gramEnd"/>
      <w:r>
        <w:rPr>
          <w:rFonts w:ascii="仿宋_GB2312" w:eastAsia="仿宋_GB2312" w:hAnsi="Times New Roman" w:hint="eastAsia"/>
          <w:kern w:val="0"/>
          <w:sz w:val="32"/>
          <w:szCs w:val="32"/>
        </w:rPr>
        <w:t>拟定项目资助计划，向社会进行为期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7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天的公示。</w:t>
      </w:r>
    </w:p>
    <w:p w:rsidR="009E12C7" w:rsidRDefault="00F57C8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hint="eastAsia"/>
          <w:sz w:val="32"/>
          <w:szCs w:val="32"/>
        </w:rPr>
        <w:t>）确定奖励计划。市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倍增办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根据资助标准和企业确认</w:t>
      </w:r>
      <w:r>
        <w:rPr>
          <w:rFonts w:ascii="Times New Roman" w:eastAsia="仿宋_GB2312" w:hAnsi="Times New Roman" w:hint="eastAsia"/>
          <w:sz w:val="32"/>
          <w:szCs w:val="32"/>
        </w:rPr>
        <w:t>名单</w:t>
      </w:r>
      <w:r>
        <w:rPr>
          <w:rFonts w:ascii="Times New Roman" w:eastAsia="仿宋_GB2312" w:hAnsi="Times New Roman" w:hint="eastAsia"/>
          <w:sz w:val="32"/>
          <w:szCs w:val="32"/>
        </w:rPr>
        <w:t>后的拟奖励金额，向市财政局申请</w:t>
      </w:r>
      <w:r>
        <w:rPr>
          <w:rFonts w:ascii="Times New Roman" w:eastAsia="仿宋_GB2312" w:hAnsi="Times New Roman" w:hint="eastAsia"/>
          <w:sz w:val="32"/>
          <w:szCs w:val="32"/>
        </w:rPr>
        <w:t>下一年度</w:t>
      </w:r>
      <w:r>
        <w:rPr>
          <w:rFonts w:ascii="Times New Roman" w:eastAsia="仿宋_GB2312" w:hAnsi="Times New Roman" w:hint="eastAsia"/>
          <w:sz w:val="32"/>
          <w:szCs w:val="32"/>
        </w:rPr>
        <w:t>预算资金。市级财政预算下达后，市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倍增办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可再</w:t>
      </w:r>
      <w:r>
        <w:rPr>
          <w:rFonts w:ascii="Times New Roman" w:eastAsia="仿宋_GB2312" w:hAnsi="Times New Roman" w:hint="eastAsia"/>
          <w:sz w:val="32"/>
          <w:szCs w:val="32"/>
        </w:rPr>
        <w:t>根据预算规模、拟奖励资金等因素，适当调整资助标准，拟定奖励计划，上报市政府审定。</w:t>
      </w:r>
    </w:p>
    <w:p w:rsidR="009E12C7" w:rsidRDefault="00F57C8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hint="eastAsia"/>
          <w:sz w:val="32"/>
          <w:szCs w:val="32"/>
        </w:rPr>
        <w:t>）资金拨付。列入奖励计划的</w:t>
      </w:r>
      <w:r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在“企莞家”平台进行收款账号确认，</w:t>
      </w:r>
      <w:r>
        <w:rPr>
          <w:rFonts w:ascii="Times New Roman" w:eastAsia="仿宋_GB2312" w:hAnsi="Times New Roman"/>
          <w:sz w:val="32"/>
          <w:szCs w:val="32"/>
        </w:rPr>
        <w:t>奖励资金拨付到企业，由企业</w:t>
      </w:r>
      <w:r>
        <w:rPr>
          <w:rFonts w:ascii="Times New Roman" w:eastAsia="仿宋_GB2312" w:hAnsi="Times New Roman" w:hint="eastAsia"/>
          <w:sz w:val="32"/>
          <w:szCs w:val="32"/>
        </w:rPr>
        <w:t>根据团队人员的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情况平均分配，然后</w:t>
      </w:r>
      <w:r>
        <w:rPr>
          <w:rFonts w:ascii="Times New Roman" w:eastAsia="仿宋_GB2312" w:hAnsi="Times New Roman"/>
          <w:sz w:val="32"/>
          <w:szCs w:val="32"/>
        </w:rPr>
        <w:t>拨付到核心团队</w:t>
      </w:r>
      <w:r>
        <w:rPr>
          <w:rFonts w:ascii="Times New Roman" w:eastAsia="仿宋_GB2312" w:hAnsi="Times New Roman" w:hint="eastAsia"/>
          <w:sz w:val="32"/>
          <w:szCs w:val="32"/>
        </w:rPr>
        <w:t>各成员。</w:t>
      </w:r>
    </w:p>
    <w:p w:rsidR="009E12C7" w:rsidRDefault="00F57C8D">
      <w:pPr>
        <w:spacing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</w:t>
      </w:r>
      <w:r>
        <w:rPr>
          <w:rFonts w:ascii="Times New Roman" w:eastAsia="黑体" w:hAnsi="Times New Roman" w:hint="eastAsia"/>
          <w:sz w:val="32"/>
          <w:szCs w:val="32"/>
        </w:rPr>
        <w:t>七</w:t>
      </w:r>
      <w:r>
        <w:rPr>
          <w:rFonts w:ascii="Times New Roman" w:eastAsia="黑体" w:hAnsi="Times New Roman"/>
          <w:sz w:val="32"/>
          <w:szCs w:val="32"/>
        </w:rPr>
        <w:t>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kern w:val="0"/>
          <w:sz w:val="32"/>
          <w:szCs w:val="32"/>
        </w:rPr>
        <w:t>监督管理</w:t>
      </w:r>
    </w:p>
    <w:p w:rsidR="009E12C7" w:rsidRDefault="00F57C8D">
      <w:pPr>
        <w:pStyle w:val="a7"/>
        <w:widowControl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受奖励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企业</w:t>
      </w:r>
      <w:r>
        <w:rPr>
          <w:rFonts w:ascii="Times New Roman" w:eastAsia="仿宋_GB2312" w:hAnsi="Times New Roman"/>
          <w:kern w:val="2"/>
          <w:sz w:val="32"/>
          <w:szCs w:val="32"/>
        </w:rPr>
        <w:t>要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根据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相关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通知和文件要求据实上报符合条件的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企业核心团队人员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基本情况，</w:t>
      </w:r>
      <w:r>
        <w:rPr>
          <w:rFonts w:ascii="Times New Roman" w:eastAsia="仿宋_GB2312" w:hAnsi="Times New Roman"/>
          <w:kern w:val="2"/>
          <w:sz w:val="32"/>
          <w:szCs w:val="32"/>
        </w:rPr>
        <w:t>并自觉接受工信、财政、审计、监察等部门的监督检查。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如弄虚作假，一旦核实，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取消申报资格，对已拨付的财政资金予以追缴；构成犯罪的，依法追究刑事责任。市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有关部门在履行职能过程中，需要受资助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提供有关数据或信息的，受资助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要积极配合，及时提供完整、真实的数据信息。</w:t>
      </w:r>
    </w:p>
    <w:p w:rsidR="009E12C7" w:rsidRDefault="00F57C8D">
      <w:pPr>
        <w:pStyle w:val="a7"/>
        <w:widowControl/>
        <w:spacing w:beforeAutospacing="0" w:afterAutospacing="0" w:line="64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第八条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本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申报指南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由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市</w:t>
      </w:r>
      <w:proofErr w:type="gramStart"/>
      <w:r>
        <w:rPr>
          <w:rFonts w:ascii="Times New Roman" w:eastAsia="仿宋_GB2312" w:hAnsi="Times New Roman" w:hint="eastAsia"/>
          <w:kern w:val="2"/>
          <w:sz w:val="32"/>
          <w:szCs w:val="32"/>
        </w:rPr>
        <w:t>倍增办</w:t>
      </w:r>
      <w:proofErr w:type="gramEnd"/>
      <w:r>
        <w:rPr>
          <w:rFonts w:ascii="Times New Roman" w:eastAsia="仿宋_GB2312" w:hAnsi="Times New Roman" w:hint="eastAsia"/>
          <w:kern w:val="2"/>
          <w:sz w:val="32"/>
          <w:szCs w:val="32"/>
        </w:rPr>
        <w:t>负责修订解释。实施有效期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至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202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12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31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日，实施过程中可根据实施情况依法评估修订。</w:t>
      </w:r>
    </w:p>
    <w:p w:rsidR="009E12C7" w:rsidRDefault="00F57C8D">
      <w:pPr>
        <w:pStyle w:val="a7"/>
        <w:widowControl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东莞市“倍增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核心团队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奖励项目情况表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</w:p>
    <w:p w:rsidR="009E12C7" w:rsidRDefault="00F57C8D">
      <w:pPr>
        <w:pStyle w:val="a7"/>
        <w:widowControl/>
        <w:spacing w:before="0" w:beforeAutospacing="0" w:after="0" w:afterAutospacing="0" w:line="640" w:lineRule="exact"/>
        <w:ind w:firstLineChars="500" w:firstLine="160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东莞市“倍增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核心团队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成员情况表</w:t>
      </w:r>
    </w:p>
    <w:p w:rsidR="009E12C7" w:rsidRDefault="009E12C7">
      <w:pPr>
        <w:pStyle w:val="a0"/>
      </w:pPr>
    </w:p>
    <w:p w:rsidR="009E12C7" w:rsidRDefault="009E12C7">
      <w:pPr>
        <w:pStyle w:val="a0"/>
        <w:spacing w:line="640" w:lineRule="exact"/>
        <w:ind w:firstLineChars="405" w:firstLine="1296"/>
      </w:pPr>
    </w:p>
    <w:p w:rsidR="009E12C7" w:rsidRDefault="009E12C7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  <w:sectPr w:rsidR="009E12C7">
          <w:headerReference w:type="default" r:id="rId7"/>
          <w:footerReference w:type="even" r:id="rId8"/>
          <w:footerReference w:type="default" r:id="rId9"/>
          <w:pgSz w:w="11906" w:h="16838"/>
          <w:pgMar w:top="2041" w:right="1531" w:bottom="2041" w:left="1531" w:header="851" w:footer="992" w:gutter="0"/>
          <w:cols w:space="720"/>
          <w:docGrid w:type="lines" w:linePitch="312"/>
        </w:sectPr>
      </w:pPr>
    </w:p>
    <w:p w:rsidR="009E12C7" w:rsidRDefault="009E12C7">
      <w:pPr>
        <w:tabs>
          <w:tab w:val="left" w:pos="1668"/>
        </w:tabs>
        <w:jc w:val="left"/>
        <w:sectPr w:rsidR="009E12C7">
          <w:type w:val="continuous"/>
          <w:pgSz w:w="11906" w:h="16838"/>
          <w:pgMar w:top="2041" w:right="1531" w:bottom="2041" w:left="1531" w:header="851" w:footer="992" w:gutter="0"/>
          <w:cols w:space="720"/>
          <w:docGrid w:type="lines" w:linePitch="312"/>
        </w:sectPr>
      </w:pPr>
    </w:p>
    <w:p w:rsidR="009E12C7" w:rsidRDefault="00F57C8D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="950" w:tblpY="1223"/>
        <w:tblOverlap w:val="never"/>
        <w:tblW w:w="16480" w:type="dxa"/>
        <w:tblLayout w:type="fixed"/>
        <w:tblLook w:val="04A0"/>
      </w:tblPr>
      <w:tblGrid>
        <w:gridCol w:w="953"/>
        <w:gridCol w:w="1051"/>
        <w:gridCol w:w="3720"/>
        <w:gridCol w:w="2748"/>
        <w:gridCol w:w="2076"/>
        <w:gridCol w:w="2580"/>
        <w:gridCol w:w="972"/>
        <w:gridCol w:w="236"/>
        <w:gridCol w:w="236"/>
        <w:gridCol w:w="1908"/>
      </w:tblGrid>
      <w:tr w:rsidR="009E12C7">
        <w:trPr>
          <w:trHeight w:val="439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企业名称：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9E12C7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9E12C7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9E12C7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9E12C7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9E12C7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9E12C7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9E12C7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9E12C7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12C7" w:rsidRDefault="009E12C7">
            <w:pPr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E12C7">
        <w:trPr>
          <w:gridAfter w:val="3"/>
          <w:wAfter w:w="2380" w:type="dxa"/>
          <w:trHeight w:val="228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镇街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 w:rsidRPr="00F57C8D"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统一社会信用代码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企业收款银行帐号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企业收款银行开户行全称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9E12C7">
        <w:trPr>
          <w:gridAfter w:val="3"/>
          <w:wAfter w:w="2380" w:type="dxa"/>
          <w:trHeight w:val="44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gridAfter w:val="3"/>
          <w:wAfter w:w="2380" w:type="dxa"/>
          <w:trHeight w:val="49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gridAfter w:val="3"/>
          <w:wAfter w:w="2380" w:type="dxa"/>
          <w:trHeight w:val="44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gridAfter w:val="3"/>
          <w:wAfter w:w="2380" w:type="dxa"/>
          <w:trHeight w:val="41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gridAfter w:val="3"/>
          <w:wAfter w:w="2380" w:type="dxa"/>
          <w:trHeight w:val="4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E12C7" w:rsidRDefault="00F57C8D">
      <w:pPr>
        <w:ind w:leftChars="760" w:left="1596" w:firstLineChars="400" w:firstLine="128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东莞市“倍增</w:t>
      </w:r>
      <w:r>
        <w:rPr>
          <w:rFonts w:ascii="黑体" w:eastAsia="黑体" w:hAnsi="黑体" w:cs="黑体" w:hint="eastAsia"/>
          <w:sz w:val="32"/>
          <w:szCs w:val="32"/>
        </w:rPr>
        <w:t>企业</w:t>
      </w:r>
      <w:r>
        <w:rPr>
          <w:rFonts w:ascii="黑体" w:eastAsia="黑体" w:hAnsi="黑体" w:cs="黑体" w:hint="eastAsia"/>
          <w:sz w:val="32"/>
          <w:szCs w:val="32"/>
        </w:rPr>
        <w:t>”</w:t>
      </w:r>
      <w:r>
        <w:rPr>
          <w:rFonts w:ascii="黑体" w:eastAsia="黑体" w:hAnsi="黑体" w:cs="黑体" w:hint="eastAsia"/>
          <w:sz w:val="32"/>
          <w:szCs w:val="32"/>
        </w:rPr>
        <w:t>核心团队</w:t>
      </w:r>
      <w:r>
        <w:rPr>
          <w:rFonts w:ascii="黑体" w:eastAsia="黑体" w:hAnsi="黑体" w:cs="黑体" w:hint="eastAsia"/>
          <w:sz w:val="32"/>
          <w:szCs w:val="32"/>
        </w:rPr>
        <w:t>奖励项目情况表</w:t>
      </w:r>
    </w:p>
    <w:p w:rsidR="009E12C7" w:rsidRDefault="009E12C7">
      <w:pPr>
        <w:pStyle w:val="a0"/>
      </w:pPr>
    </w:p>
    <w:p w:rsidR="009E12C7" w:rsidRDefault="009E12C7">
      <w:pPr>
        <w:sectPr w:rsidR="009E12C7">
          <w:headerReference w:type="default" r:id="rId10"/>
          <w:type w:val="continuous"/>
          <w:pgSz w:w="16838" w:h="11906" w:orient="landscape"/>
          <w:pgMar w:top="1531" w:right="2041" w:bottom="1531" w:left="2041" w:header="851" w:footer="992" w:gutter="0"/>
          <w:cols w:space="720"/>
          <w:docGrid w:type="lines" w:linePitch="312"/>
        </w:sectPr>
      </w:pPr>
    </w:p>
    <w:p w:rsidR="009E12C7" w:rsidRDefault="00F57C8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9E12C7" w:rsidRDefault="00F57C8D">
      <w:pPr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东莞市“倍增</w:t>
      </w:r>
      <w:r>
        <w:rPr>
          <w:rFonts w:ascii="黑体" w:eastAsia="黑体" w:hAnsi="黑体" w:cs="黑体" w:hint="eastAsia"/>
          <w:sz w:val="32"/>
          <w:szCs w:val="32"/>
        </w:rPr>
        <w:t>企业</w:t>
      </w:r>
      <w:r>
        <w:rPr>
          <w:rFonts w:ascii="黑体" w:eastAsia="黑体" w:hAnsi="黑体" w:cs="黑体" w:hint="eastAsia"/>
          <w:sz w:val="32"/>
          <w:szCs w:val="32"/>
        </w:rPr>
        <w:t>”</w:t>
      </w:r>
      <w:r>
        <w:rPr>
          <w:rFonts w:ascii="黑体" w:eastAsia="黑体" w:hAnsi="黑体" w:cs="黑体" w:hint="eastAsia"/>
          <w:sz w:val="32"/>
          <w:szCs w:val="32"/>
        </w:rPr>
        <w:t>核心团队成员</w:t>
      </w:r>
      <w:r>
        <w:rPr>
          <w:rFonts w:ascii="黑体" w:eastAsia="黑体" w:hAnsi="黑体" w:cs="黑体" w:hint="eastAsia"/>
          <w:sz w:val="32"/>
          <w:szCs w:val="32"/>
        </w:rPr>
        <w:t>情况表</w:t>
      </w:r>
    </w:p>
    <w:tbl>
      <w:tblPr>
        <w:tblpPr w:leftFromText="180" w:rightFromText="180" w:vertAnchor="text" w:horzAnchor="page" w:tblpX="1999" w:tblpY="57"/>
        <w:tblOverlap w:val="never"/>
        <w:tblW w:w="13200" w:type="dxa"/>
        <w:tblLayout w:type="fixed"/>
        <w:tblLook w:val="04A0"/>
      </w:tblPr>
      <w:tblGrid>
        <w:gridCol w:w="800"/>
        <w:gridCol w:w="816"/>
        <w:gridCol w:w="1067"/>
        <w:gridCol w:w="1933"/>
        <w:gridCol w:w="2067"/>
        <w:gridCol w:w="4750"/>
        <w:gridCol w:w="1767"/>
      </w:tblGrid>
      <w:tr w:rsidR="009E12C7">
        <w:trPr>
          <w:trHeight w:val="110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毕业院校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最高学历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公司职务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突出贡献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2C7" w:rsidRDefault="00F57C8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备注（附：劳动合同）</w:t>
            </w:r>
          </w:p>
        </w:tc>
      </w:tr>
      <w:tr w:rsidR="009E12C7">
        <w:trPr>
          <w:trHeight w:val="4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9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4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1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E12C7">
        <w:trPr>
          <w:trHeight w:val="48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核心团队总体情况</w:t>
            </w:r>
          </w:p>
        </w:tc>
        <w:tc>
          <w:tcPr>
            <w:tcW w:w="1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2C7" w:rsidRDefault="00F57C8D">
            <w:pPr>
              <w:pStyle w:val="a0"/>
            </w:pPr>
            <w:r>
              <w:rPr>
                <w:rFonts w:hint="eastAsia"/>
              </w:rPr>
              <w:t>本项目团队由申报人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组建，整体由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名博士、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名硕士、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名本科、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专业技术人员组成，平均年龄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岁，主要涉及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xx </w:t>
            </w:r>
            <w:r>
              <w:rPr>
                <w:rFonts w:hint="eastAsia"/>
              </w:rPr>
              <w:t>等专业技术方向，多名成员在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领域（本项目技术领域）具备丰富的研发经验……（可举例说明突出成绩）。技术研发团队具备一流的学科背景、过硬的研发能力和丰富的项目实施经验。同时，团队专业的市场人员及管理人员具备多年的市场开拓、大型项目的运营实施与管理经验…（可举例说明突出成绩）。</w:t>
            </w:r>
          </w:p>
          <w:p w:rsidR="009E12C7" w:rsidRDefault="009E12C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E12C7" w:rsidRDefault="00F57C8D">
      <w:pPr>
        <w:pStyle w:val="a0"/>
        <w:ind w:firstLine="0"/>
        <w:rPr>
          <w:sz w:val="28"/>
          <w:szCs w:val="28"/>
        </w:rPr>
      </w:pPr>
      <w:r>
        <w:rPr>
          <w:rFonts w:ascii="黑体" w:eastAsia="黑体" w:hAnsi="黑体" w:cs="黑体" w:hint="eastAsia"/>
          <w:szCs w:val="32"/>
        </w:rPr>
        <w:t xml:space="preserve">   </w:t>
      </w: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企业核心团队成员不超过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</w:rPr>
        <w:t>不少于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人，</w:t>
      </w:r>
      <w:r>
        <w:rPr>
          <w:rFonts w:hint="eastAsia"/>
          <w:sz w:val="28"/>
          <w:szCs w:val="28"/>
        </w:rPr>
        <w:t>由企业自主决定，主要是指在企业担任重要岗位并做出突出贡献的人员，一般包括企业高级管理人员以及领军型人才、关键岗位技术人员等，且</w:t>
      </w:r>
      <w:r>
        <w:rPr>
          <w:rFonts w:hint="eastAsia"/>
          <w:sz w:val="28"/>
          <w:szCs w:val="28"/>
        </w:rPr>
        <w:t>80%</w:t>
      </w:r>
      <w:r>
        <w:rPr>
          <w:rFonts w:hint="eastAsia"/>
          <w:sz w:val="28"/>
          <w:szCs w:val="28"/>
        </w:rPr>
        <w:t>以上为技术人员</w:t>
      </w:r>
      <w:r>
        <w:rPr>
          <w:rFonts w:hint="eastAsia"/>
          <w:sz w:val="28"/>
          <w:szCs w:val="28"/>
        </w:rPr>
        <w:t>。</w:t>
      </w:r>
    </w:p>
    <w:sectPr w:rsidR="009E12C7" w:rsidSect="009E12C7">
      <w:pgSz w:w="16838" w:h="11906" w:orient="landscape"/>
      <w:pgMar w:top="1531" w:right="2041" w:bottom="1531" w:left="204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2C7" w:rsidRDefault="009E12C7" w:rsidP="009E12C7">
      <w:r>
        <w:separator/>
      </w:r>
    </w:p>
  </w:endnote>
  <w:endnote w:type="continuationSeparator" w:id="0">
    <w:p w:rsidR="009E12C7" w:rsidRDefault="009E12C7" w:rsidP="009E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C7" w:rsidRDefault="00F57C8D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 w:rsidR="009E12C7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9E12C7">
      <w:rPr>
        <w:rFonts w:ascii="Times New Roman" w:hAnsi="Times New Roman"/>
        <w:sz w:val="28"/>
        <w:szCs w:val="28"/>
      </w:rPr>
      <w:fldChar w:fldCharType="separate"/>
    </w:r>
    <w:r w:rsidRPr="00F57C8D">
      <w:rPr>
        <w:rFonts w:ascii="Times New Roman" w:hAnsi="Times New Roman"/>
        <w:noProof/>
        <w:sz w:val="28"/>
        <w:szCs w:val="28"/>
        <w:lang w:val="zh-CN"/>
      </w:rPr>
      <w:t>6</w:t>
    </w:r>
    <w:r w:rsidR="009E12C7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－</w:t>
    </w:r>
  </w:p>
  <w:p w:rsidR="009E12C7" w:rsidRDefault="009E12C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C7" w:rsidRDefault="00F57C8D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 w:rsidR="009E12C7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9E12C7">
      <w:rPr>
        <w:rFonts w:ascii="Times New Roman" w:hAnsi="Times New Roman"/>
        <w:sz w:val="28"/>
        <w:szCs w:val="28"/>
      </w:rPr>
      <w:fldChar w:fldCharType="separate"/>
    </w:r>
    <w:r w:rsidRPr="00F57C8D">
      <w:rPr>
        <w:rFonts w:ascii="Times New Roman" w:hAnsi="Times New Roman"/>
        <w:noProof/>
        <w:sz w:val="28"/>
        <w:szCs w:val="28"/>
        <w:lang w:val="zh-CN"/>
      </w:rPr>
      <w:t>5</w:t>
    </w:r>
    <w:r w:rsidR="009E12C7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－</w:t>
    </w:r>
  </w:p>
  <w:p w:rsidR="009E12C7" w:rsidRDefault="009E12C7">
    <w:pPr>
      <w:pStyle w:val="a5"/>
      <w:ind w:right="360" w:firstLine="36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2C7" w:rsidRDefault="009E12C7" w:rsidP="009E12C7">
      <w:r>
        <w:separator/>
      </w:r>
    </w:p>
  </w:footnote>
  <w:footnote w:type="continuationSeparator" w:id="0">
    <w:p w:rsidR="009E12C7" w:rsidRDefault="009E12C7" w:rsidP="009E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C7" w:rsidRDefault="009E12C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2C7" w:rsidRDefault="009E12C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05063"/>
    <w:multiLevelType w:val="singleLevel"/>
    <w:tmpl w:val="5490506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markup="0"/>
  <w:defaultTabStop w:val="420"/>
  <w:evenAndOddHeaders/>
  <w:drawingGridHorizontalSpacing w:val="227"/>
  <w:drawingGridVerticalSpacing w:val="6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E5NjQ4NWFjODdiNjk5MjVkZmFiNGRhN2NmMTliN2MifQ=="/>
  </w:docVars>
  <w:rsids>
    <w:rsidRoot w:val="122A2EFE"/>
    <w:rsid w:val="F8546C7C"/>
    <w:rsid w:val="00180442"/>
    <w:rsid w:val="00201AF2"/>
    <w:rsid w:val="002301D5"/>
    <w:rsid w:val="00255F84"/>
    <w:rsid w:val="002D763E"/>
    <w:rsid w:val="002E0D8D"/>
    <w:rsid w:val="00327538"/>
    <w:rsid w:val="00330C5A"/>
    <w:rsid w:val="004B3663"/>
    <w:rsid w:val="004D2E96"/>
    <w:rsid w:val="00581D4E"/>
    <w:rsid w:val="005A1F69"/>
    <w:rsid w:val="005B20B9"/>
    <w:rsid w:val="005F565F"/>
    <w:rsid w:val="00617B8E"/>
    <w:rsid w:val="00631AE6"/>
    <w:rsid w:val="006647DF"/>
    <w:rsid w:val="006E45D8"/>
    <w:rsid w:val="006E74CA"/>
    <w:rsid w:val="00705AF5"/>
    <w:rsid w:val="007D0B49"/>
    <w:rsid w:val="00854A3C"/>
    <w:rsid w:val="00854DAB"/>
    <w:rsid w:val="008B6FF4"/>
    <w:rsid w:val="0091551D"/>
    <w:rsid w:val="009515BF"/>
    <w:rsid w:val="00951E1C"/>
    <w:rsid w:val="00970A7F"/>
    <w:rsid w:val="009E12C7"/>
    <w:rsid w:val="00A21723"/>
    <w:rsid w:val="00A54A2F"/>
    <w:rsid w:val="00A70A31"/>
    <w:rsid w:val="00A82949"/>
    <w:rsid w:val="00A917EA"/>
    <w:rsid w:val="00AF0899"/>
    <w:rsid w:val="00B02331"/>
    <w:rsid w:val="00BB37A3"/>
    <w:rsid w:val="00BF6E43"/>
    <w:rsid w:val="00CA60B4"/>
    <w:rsid w:val="00CB478F"/>
    <w:rsid w:val="00D1166C"/>
    <w:rsid w:val="00D75390"/>
    <w:rsid w:val="00DA1E58"/>
    <w:rsid w:val="00DC312E"/>
    <w:rsid w:val="00DD2F8B"/>
    <w:rsid w:val="00DE3C0C"/>
    <w:rsid w:val="00E309EB"/>
    <w:rsid w:val="00E75003"/>
    <w:rsid w:val="00ED60D4"/>
    <w:rsid w:val="00EE6A71"/>
    <w:rsid w:val="00F56E40"/>
    <w:rsid w:val="00F57C8D"/>
    <w:rsid w:val="00F776C8"/>
    <w:rsid w:val="00FA5BD9"/>
    <w:rsid w:val="00FB32C1"/>
    <w:rsid w:val="012D19BA"/>
    <w:rsid w:val="04C964BA"/>
    <w:rsid w:val="05242895"/>
    <w:rsid w:val="060F64FD"/>
    <w:rsid w:val="06A67F87"/>
    <w:rsid w:val="07CC41B7"/>
    <w:rsid w:val="082A1BF3"/>
    <w:rsid w:val="08546BDF"/>
    <w:rsid w:val="08CB1A99"/>
    <w:rsid w:val="0AFB436C"/>
    <w:rsid w:val="0E4F68F4"/>
    <w:rsid w:val="0ED846F9"/>
    <w:rsid w:val="0F512CDE"/>
    <w:rsid w:val="11C40834"/>
    <w:rsid w:val="122A2EFE"/>
    <w:rsid w:val="122C673B"/>
    <w:rsid w:val="14432AAE"/>
    <w:rsid w:val="148A3924"/>
    <w:rsid w:val="15D16063"/>
    <w:rsid w:val="16126B1A"/>
    <w:rsid w:val="17AF27EF"/>
    <w:rsid w:val="180F6A0C"/>
    <w:rsid w:val="196F4647"/>
    <w:rsid w:val="19C24A07"/>
    <w:rsid w:val="1A7E7EAA"/>
    <w:rsid w:val="1C2A7158"/>
    <w:rsid w:val="1E782925"/>
    <w:rsid w:val="21E332D3"/>
    <w:rsid w:val="23082DC1"/>
    <w:rsid w:val="23E2652D"/>
    <w:rsid w:val="242847AC"/>
    <w:rsid w:val="246C20E8"/>
    <w:rsid w:val="24BD6C87"/>
    <w:rsid w:val="24EA4B39"/>
    <w:rsid w:val="27540843"/>
    <w:rsid w:val="280239E5"/>
    <w:rsid w:val="288D2109"/>
    <w:rsid w:val="2D7B6916"/>
    <w:rsid w:val="2DC02863"/>
    <w:rsid w:val="2EC3180C"/>
    <w:rsid w:val="30583D2C"/>
    <w:rsid w:val="309641CA"/>
    <w:rsid w:val="31611AC5"/>
    <w:rsid w:val="319C11CD"/>
    <w:rsid w:val="32FD4BBC"/>
    <w:rsid w:val="338F5F95"/>
    <w:rsid w:val="36741970"/>
    <w:rsid w:val="36E14538"/>
    <w:rsid w:val="3A080B60"/>
    <w:rsid w:val="3A6C72B2"/>
    <w:rsid w:val="3AD51583"/>
    <w:rsid w:val="3B6F41C3"/>
    <w:rsid w:val="3CB11FA5"/>
    <w:rsid w:val="3D340574"/>
    <w:rsid w:val="419041CD"/>
    <w:rsid w:val="421D5628"/>
    <w:rsid w:val="425E5301"/>
    <w:rsid w:val="43573F96"/>
    <w:rsid w:val="44477924"/>
    <w:rsid w:val="45C91E96"/>
    <w:rsid w:val="46E84CCB"/>
    <w:rsid w:val="493223AB"/>
    <w:rsid w:val="494E162E"/>
    <w:rsid w:val="4B164E76"/>
    <w:rsid w:val="4D775D82"/>
    <w:rsid w:val="4EC60CF5"/>
    <w:rsid w:val="4F773A64"/>
    <w:rsid w:val="50402C45"/>
    <w:rsid w:val="54084C5C"/>
    <w:rsid w:val="55A1318E"/>
    <w:rsid w:val="563111D8"/>
    <w:rsid w:val="56900E14"/>
    <w:rsid w:val="597B7ADB"/>
    <w:rsid w:val="5B3E693B"/>
    <w:rsid w:val="5B7B7E4F"/>
    <w:rsid w:val="5BD20163"/>
    <w:rsid w:val="5D2D28BE"/>
    <w:rsid w:val="64F56977"/>
    <w:rsid w:val="66EF082E"/>
    <w:rsid w:val="67CF0573"/>
    <w:rsid w:val="685E1E18"/>
    <w:rsid w:val="6B541DEE"/>
    <w:rsid w:val="6BEE2CD7"/>
    <w:rsid w:val="6DB63328"/>
    <w:rsid w:val="6EC501C6"/>
    <w:rsid w:val="6FFA1776"/>
    <w:rsid w:val="6FFB09F9"/>
    <w:rsid w:val="701F13B7"/>
    <w:rsid w:val="724A48A1"/>
    <w:rsid w:val="749260B5"/>
    <w:rsid w:val="76B421EF"/>
    <w:rsid w:val="77097943"/>
    <w:rsid w:val="78565230"/>
    <w:rsid w:val="78CF3F24"/>
    <w:rsid w:val="79E036BC"/>
    <w:rsid w:val="7D0A1D8F"/>
    <w:rsid w:val="7F37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E12C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sid w:val="009E12C7"/>
    <w:pPr>
      <w:snapToGrid w:val="0"/>
      <w:spacing w:line="600" w:lineRule="atLeast"/>
      <w:ind w:firstLine="641"/>
    </w:pPr>
    <w:rPr>
      <w:rFonts w:ascii="Times New Roman" w:eastAsia="仿宋_GB2312" w:hAnsi="Times New Roman"/>
      <w:sz w:val="32"/>
    </w:rPr>
  </w:style>
  <w:style w:type="paragraph" w:styleId="a4">
    <w:name w:val="Balloon Text"/>
    <w:basedOn w:val="a"/>
    <w:link w:val="Char"/>
    <w:autoRedefine/>
    <w:qFormat/>
    <w:rsid w:val="009E12C7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9E12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rsid w:val="009E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autoRedefine/>
    <w:qFormat/>
    <w:rsid w:val="009E12C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Title"/>
    <w:basedOn w:val="a"/>
    <w:next w:val="a"/>
    <w:link w:val="Char0"/>
    <w:autoRedefine/>
    <w:uiPriority w:val="10"/>
    <w:qFormat/>
    <w:rsid w:val="009E12C7"/>
    <w:pPr>
      <w:widowControl/>
      <w:spacing w:line="600" w:lineRule="exact"/>
      <w:jc w:val="center"/>
      <w:outlineLvl w:val="0"/>
    </w:pPr>
    <w:rPr>
      <w:rFonts w:ascii="Times New Roman" w:eastAsia="方正小标宋简体" w:hAnsi="Times New Roman"/>
      <w:bCs/>
      <w:sz w:val="44"/>
      <w:szCs w:val="32"/>
    </w:rPr>
  </w:style>
  <w:style w:type="character" w:styleId="a9">
    <w:name w:val="page number"/>
    <w:basedOn w:val="a1"/>
    <w:qFormat/>
    <w:rsid w:val="009E12C7"/>
  </w:style>
  <w:style w:type="paragraph" w:customStyle="1" w:styleId="Default">
    <w:name w:val="Default"/>
    <w:qFormat/>
    <w:rsid w:val="009E12C7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批注框文本 Char"/>
    <w:link w:val="a4"/>
    <w:qFormat/>
    <w:rsid w:val="009E12C7"/>
    <w:rPr>
      <w:kern w:val="2"/>
      <w:sz w:val="18"/>
      <w:szCs w:val="18"/>
    </w:rPr>
  </w:style>
  <w:style w:type="character" w:customStyle="1" w:styleId="Char0">
    <w:name w:val="标题 Char"/>
    <w:link w:val="a8"/>
    <w:uiPriority w:val="10"/>
    <w:qFormat/>
    <w:rsid w:val="009E12C7"/>
    <w:rPr>
      <w:rFonts w:ascii="Times New Roman" w:eastAsia="方正小标宋简体" w:hAnsi="Times New Roman"/>
      <w:bCs/>
      <w:kern w:val="2"/>
      <w:sz w:val="44"/>
      <w:szCs w:val="32"/>
    </w:rPr>
  </w:style>
  <w:style w:type="character" w:customStyle="1" w:styleId="font31">
    <w:name w:val="font31"/>
    <w:basedOn w:val="a1"/>
    <w:qFormat/>
    <w:rsid w:val="009E12C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9E12C7"/>
    <w:rPr>
      <w:rFonts w:ascii="黑体" w:eastAsia="黑体" w:hAnsi="宋体" w:cs="黑体" w:hint="eastAsia"/>
      <w:color w:val="FF0000"/>
      <w:sz w:val="24"/>
      <w:szCs w:val="24"/>
      <w:u w:val="none"/>
    </w:rPr>
  </w:style>
  <w:style w:type="paragraph" w:customStyle="1" w:styleId="TableParagraph">
    <w:name w:val="Table Paragraph"/>
    <w:basedOn w:val="a"/>
    <w:autoRedefine/>
    <w:qFormat/>
    <w:rsid w:val="009E12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1956</Words>
  <Characters>268</Characters>
  <Application>Microsoft Office Word</Application>
  <DocSecurity>0</DocSecurity>
  <Lines>2</Lines>
  <Paragraphs>4</Paragraphs>
  <ScaleCrop>false</ScaleCrop>
  <Company>LS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(耶稣)</dc:creator>
  <cp:lastModifiedBy>叶淑仪</cp:lastModifiedBy>
  <cp:revision>3</cp:revision>
  <cp:lastPrinted>2024-03-26T03:13:00Z</cp:lastPrinted>
  <dcterms:created xsi:type="dcterms:W3CDTF">2021-08-06T23:32:00Z</dcterms:created>
  <dcterms:modified xsi:type="dcterms:W3CDTF">2024-03-27T02:36:00Z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5F43DF827198476281E5D5245A11A506_13</vt:lpwstr>
  </property>
</Properties>
</file>