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left"/>
        <w:rPr>
          <w:rFonts w:ascii="Times New Roman" w:hAnsi="Times New Roman" w:eastAsia="黑体"/>
          <w:sz w:val="32"/>
          <w:szCs w:val="32"/>
        </w:rPr>
      </w:pPr>
      <w:bookmarkStart w:id="1" w:name="_GoBack"/>
      <w:bookmarkEnd w:id="1"/>
      <w:r>
        <w:rPr>
          <w:rFonts w:ascii="Times New Roman" w:hAnsi="Times New Roman" w:eastAsia="黑体"/>
          <w:color w:val="000000"/>
          <w:kern w:val="0"/>
          <w:sz w:val="32"/>
          <w:szCs w:val="32"/>
        </w:rPr>
        <w:t>附件1：</w:t>
      </w:r>
    </w:p>
    <w:p>
      <w:pPr>
        <w:widowControl/>
        <w:spacing w:line="640" w:lineRule="exact"/>
        <w:jc w:val="left"/>
        <w:rPr>
          <w:rFonts w:ascii="Times New Roman" w:hAnsi="Times New Roman" w:eastAsia="黑体"/>
          <w:color w:val="000000"/>
          <w:kern w:val="0"/>
          <w:sz w:val="32"/>
          <w:szCs w:val="32"/>
        </w:rPr>
      </w:pPr>
    </w:p>
    <w:p>
      <w:pPr>
        <w:spacing w:line="640" w:lineRule="exact"/>
        <w:jc w:val="center"/>
        <w:rPr>
          <w:rFonts w:ascii="Times New Roman" w:hAnsi="Times New Roman" w:eastAsia="方正小标宋简体"/>
          <w:sz w:val="44"/>
          <w:szCs w:val="44"/>
        </w:rPr>
      </w:pPr>
      <w:r>
        <w:rPr>
          <w:rFonts w:ascii="Times New Roman" w:hAnsi="Times New Roman" w:eastAsia="方正小标宋简体"/>
          <w:sz w:val="44"/>
          <w:szCs w:val="44"/>
        </w:rPr>
        <w:t>东莞市“倍增计划”骨干人员资助</w:t>
      </w:r>
      <w:r>
        <w:rPr>
          <w:rFonts w:hint="eastAsia" w:ascii="Times New Roman" w:hAnsi="Times New Roman" w:eastAsia="方正小标宋简体"/>
          <w:sz w:val="44"/>
          <w:szCs w:val="44"/>
        </w:rPr>
        <w:t>项目</w:t>
      </w:r>
      <w:r>
        <w:rPr>
          <w:rFonts w:ascii="Times New Roman" w:hAnsi="Times New Roman" w:eastAsia="方正小标宋简体"/>
          <w:sz w:val="44"/>
          <w:szCs w:val="44"/>
        </w:rPr>
        <w:t>实施细则</w:t>
      </w:r>
    </w:p>
    <w:p>
      <w:pPr>
        <w:spacing w:line="6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w:t>
      </w:r>
      <w:r>
        <w:rPr>
          <w:rFonts w:hint="eastAsia" w:ascii="Times New Roman" w:hAnsi="Times New Roman" w:eastAsia="方正小标宋简体"/>
          <w:sz w:val="44"/>
          <w:szCs w:val="44"/>
          <w:lang w:eastAsia="zh-CN"/>
        </w:rPr>
        <w:t>征求意见稿</w:t>
      </w:r>
      <w:r>
        <w:rPr>
          <w:rFonts w:hint="eastAsia" w:ascii="Times New Roman" w:hAnsi="Times New Roman" w:eastAsia="方正小标宋简体"/>
          <w:sz w:val="44"/>
          <w:szCs w:val="44"/>
        </w:rPr>
        <w:t>）</w:t>
      </w:r>
    </w:p>
    <w:p>
      <w:pPr>
        <w:spacing w:line="640" w:lineRule="exact"/>
        <w:rPr>
          <w:rFonts w:ascii="Times New Roman" w:hAnsi="Times New Roman" w:eastAsia="仿宋_GB2312"/>
          <w:sz w:val="32"/>
          <w:szCs w:val="32"/>
        </w:rPr>
      </w:pPr>
    </w:p>
    <w:p>
      <w:pPr>
        <w:spacing w:line="640" w:lineRule="exact"/>
        <w:ind w:firstLine="640" w:firstLineChars="200"/>
        <w:rPr>
          <w:rFonts w:ascii="Times New Roman" w:hAnsi="Times New Roman" w:eastAsia="仿宋_GB2312"/>
          <w:color w:val="auto"/>
          <w:sz w:val="32"/>
          <w:szCs w:val="32"/>
        </w:rPr>
      </w:pPr>
      <w:r>
        <w:rPr>
          <w:rFonts w:ascii="Times New Roman" w:hAnsi="Times New Roman" w:eastAsia="黑体"/>
          <w:sz w:val="32"/>
          <w:szCs w:val="32"/>
        </w:rPr>
        <w:t xml:space="preserve">第一条  </w:t>
      </w:r>
      <w:r>
        <w:rPr>
          <w:rFonts w:hint="eastAsia" w:ascii="Times New Roman" w:hAnsi="Times New Roman" w:eastAsia="仿宋_GB2312"/>
          <w:color w:val="auto"/>
          <w:sz w:val="32"/>
          <w:szCs w:val="32"/>
        </w:rPr>
        <w:t>本</w:t>
      </w:r>
      <w:r>
        <w:rPr>
          <w:rFonts w:hint="eastAsia" w:ascii="Times New Roman" w:hAnsi="Times New Roman" w:eastAsia="仿宋_GB2312"/>
          <w:color w:val="auto"/>
          <w:sz w:val="32"/>
          <w:szCs w:val="32"/>
          <w:lang w:eastAsia="zh-CN"/>
        </w:rPr>
        <w:t>实施</w:t>
      </w:r>
      <w:r>
        <w:rPr>
          <w:rFonts w:hint="eastAsia" w:ascii="Times New Roman" w:hAnsi="Times New Roman" w:eastAsia="仿宋_GB2312"/>
          <w:color w:val="auto"/>
          <w:sz w:val="32"/>
          <w:szCs w:val="32"/>
        </w:rPr>
        <w:t>细则</w:t>
      </w:r>
      <w:r>
        <w:rPr>
          <w:rFonts w:hint="eastAsia" w:ascii="Times New Roman" w:hAnsi="Times New Roman" w:eastAsia="仿宋_GB2312"/>
          <w:color w:val="auto"/>
          <w:sz w:val="32"/>
          <w:szCs w:val="32"/>
          <w:lang w:eastAsia="zh-CN"/>
        </w:rPr>
        <w:t>依</w:t>
      </w:r>
      <w:r>
        <w:rPr>
          <w:rFonts w:hint="eastAsia" w:ascii="Times New Roman" w:hAnsi="Times New Roman" w:eastAsia="仿宋_GB2312"/>
          <w:color w:val="auto"/>
          <w:sz w:val="32"/>
          <w:szCs w:val="32"/>
        </w:rPr>
        <w:t>据《东莞市“倍增计划”专项资金管理办法》制订。该细则所称的骨干人员资助项目，是指根据“倍增计划”试点企业（包括名誉试点企业、试点企业，以下简称“试点企业”）和协同倍增企业的类别以及营业收入增长、规模等情况配置相应的骨干人员资金，用于支持企业留住核心</w:t>
      </w:r>
      <w:r>
        <w:rPr>
          <w:rFonts w:ascii="Times New Roman" w:hAnsi="Times New Roman" w:eastAsia="仿宋_GB2312"/>
          <w:color w:val="auto"/>
          <w:sz w:val="32"/>
          <w:szCs w:val="32"/>
        </w:rPr>
        <w:t>骨干及中高层管理人员的项目。</w:t>
      </w:r>
    </w:p>
    <w:p>
      <w:pPr>
        <w:spacing w:line="640" w:lineRule="exact"/>
        <w:ind w:firstLine="640" w:firstLineChars="200"/>
        <w:rPr>
          <w:rFonts w:ascii="Times New Roman" w:hAnsi="Times New Roman" w:eastAsia="仿宋_GB2312"/>
          <w:color w:val="auto"/>
          <w:sz w:val="32"/>
          <w:szCs w:val="32"/>
        </w:rPr>
      </w:pPr>
      <w:r>
        <w:rPr>
          <w:rFonts w:ascii="Times New Roman" w:hAnsi="Times New Roman" w:eastAsia="黑体"/>
          <w:color w:val="auto"/>
          <w:sz w:val="32"/>
          <w:szCs w:val="32"/>
        </w:rPr>
        <w:t xml:space="preserve">第二条  </w:t>
      </w:r>
      <w:r>
        <w:rPr>
          <w:rFonts w:ascii="Times New Roman" w:hAnsi="Times New Roman" w:eastAsia="仿宋_GB2312"/>
          <w:color w:val="auto"/>
          <w:sz w:val="32"/>
          <w:szCs w:val="32"/>
        </w:rPr>
        <w:t>申请对象</w:t>
      </w:r>
    </w:p>
    <w:p>
      <w:pPr>
        <w:spacing w:line="64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为</w:t>
      </w:r>
      <w:r>
        <w:rPr>
          <w:rFonts w:hint="eastAsia" w:ascii="Times New Roman" w:hAnsi="Times New Roman" w:eastAsia="仿宋_GB2312"/>
          <w:color w:val="auto"/>
          <w:sz w:val="32"/>
          <w:szCs w:val="32"/>
        </w:rPr>
        <w:t>试点企业及协同倍增企业的核心骨干及中高层管理人员，或企业认为有突出贡献的人</w:t>
      </w:r>
      <w:r>
        <w:rPr>
          <w:rFonts w:ascii="Times New Roman" w:hAnsi="Times New Roman" w:eastAsia="仿宋_GB2312"/>
          <w:color w:val="auto"/>
          <w:sz w:val="32"/>
          <w:szCs w:val="32"/>
        </w:rPr>
        <w:t>员。</w:t>
      </w:r>
      <w:r>
        <w:rPr>
          <w:rFonts w:hint="eastAsia" w:ascii="Times New Roman" w:hAnsi="Times New Roman" w:eastAsia="仿宋_GB2312"/>
          <w:color w:val="auto"/>
          <w:sz w:val="32"/>
          <w:szCs w:val="32"/>
        </w:rPr>
        <w:t>其中</w:t>
      </w:r>
      <w:r>
        <w:rPr>
          <w:rFonts w:ascii="Times New Roman" w:hAnsi="Times New Roman" w:eastAsia="仿宋_GB2312"/>
          <w:color w:val="auto"/>
          <w:sz w:val="32"/>
          <w:szCs w:val="32"/>
        </w:rPr>
        <w:t>，认定</w:t>
      </w:r>
      <w:r>
        <w:rPr>
          <w:rFonts w:hint="eastAsia" w:ascii="Times New Roman" w:hAnsi="Times New Roman" w:eastAsia="仿宋_GB2312"/>
          <w:color w:val="auto"/>
          <w:sz w:val="32"/>
          <w:szCs w:val="32"/>
        </w:rPr>
        <w:t>有效期内</w:t>
      </w:r>
      <w:r>
        <w:rPr>
          <w:rFonts w:ascii="Times New Roman" w:hAnsi="Times New Roman" w:eastAsia="仿宋_GB2312"/>
          <w:color w:val="auto"/>
          <w:sz w:val="32"/>
          <w:szCs w:val="32"/>
        </w:rPr>
        <w:t>国家专精特新“小巨人”企业视同“倍增计划”试点企业</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认定</w:t>
      </w:r>
      <w:r>
        <w:rPr>
          <w:rFonts w:hint="eastAsia" w:ascii="Times New Roman" w:hAnsi="Times New Roman" w:eastAsia="仿宋_GB2312"/>
          <w:color w:val="auto"/>
          <w:sz w:val="32"/>
          <w:szCs w:val="32"/>
        </w:rPr>
        <w:t>有效期内</w:t>
      </w:r>
      <w:r>
        <w:rPr>
          <w:rFonts w:ascii="Times New Roman" w:hAnsi="Times New Roman" w:eastAsia="仿宋_GB2312"/>
          <w:color w:val="auto"/>
          <w:sz w:val="32"/>
          <w:szCs w:val="32"/>
        </w:rPr>
        <w:t>省“专精特新”企业视同协同倍增企业</w:t>
      </w:r>
      <w:r>
        <w:rPr>
          <w:rFonts w:ascii="Times New Roman" w:hAnsi="Times New Roman" w:eastAsia="仿宋_GB2312"/>
          <w:color w:val="auto"/>
          <w:kern w:val="0"/>
          <w:sz w:val="32"/>
          <w:szCs w:val="32"/>
        </w:rPr>
        <w:t>。</w:t>
      </w:r>
    </w:p>
    <w:p>
      <w:pPr>
        <w:spacing w:line="640" w:lineRule="exact"/>
        <w:ind w:firstLine="640" w:firstLineChars="200"/>
        <w:rPr>
          <w:rFonts w:ascii="Times New Roman" w:hAnsi="Times New Roman" w:eastAsia="仿宋_GB2312"/>
          <w:color w:val="auto"/>
          <w:sz w:val="32"/>
          <w:szCs w:val="32"/>
        </w:rPr>
      </w:pPr>
      <w:r>
        <w:rPr>
          <w:rFonts w:ascii="Times New Roman" w:hAnsi="Times New Roman" w:eastAsia="黑体"/>
          <w:color w:val="auto"/>
          <w:sz w:val="32"/>
          <w:szCs w:val="32"/>
        </w:rPr>
        <w:t xml:space="preserve">第三条  </w:t>
      </w:r>
      <w:r>
        <w:rPr>
          <w:rFonts w:ascii="Times New Roman" w:hAnsi="Times New Roman" w:eastAsia="仿宋_GB2312"/>
          <w:color w:val="auto"/>
          <w:sz w:val="32"/>
          <w:szCs w:val="32"/>
        </w:rPr>
        <w:t>申请条件</w:t>
      </w:r>
    </w:p>
    <w:p>
      <w:pPr>
        <w:numPr>
          <w:ilvl w:val="0"/>
          <w:numId w:val="1"/>
        </w:num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名誉试点企业上</w:t>
      </w:r>
      <w:r>
        <w:rPr>
          <w:rFonts w:ascii="Times New Roman" w:hAnsi="Times New Roman" w:eastAsia="仿宋_GB2312"/>
          <w:color w:val="auto"/>
          <w:sz w:val="32"/>
          <w:szCs w:val="32"/>
        </w:rPr>
        <w:t>年度营业收入为正增长，</w:t>
      </w:r>
      <w:r>
        <w:rPr>
          <w:rFonts w:hint="eastAsia" w:ascii="Times New Roman" w:hAnsi="Times New Roman" w:eastAsia="仿宋_GB2312"/>
          <w:color w:val="auto"/>
          <w:sz w:val="32"/>
          <w:szCs w:val="32"/>
        </w:rPr>
        <w:t>试点企业、协同倍增企业上</w:t>
      </w:r>
      <w:r>
        <w:rPr>
          <w:rFonts w:ascii="Times New Roman" w:hAnsi="Times New Roman" w:eastAsia="仿宋_GB2312"/>
          <w:color w:val="auto"/>
          <w:sz w:val="32"/>
          <w:szCs w:val="32"/>
        </w:rPr>
        <w:t>年度营业收入增长达15%（含）以上</w:t>
      </w:r>
      <w:r>
        <w:rPr>
          <w:rFonts w:hint="eastAsia" w:ascii="Times New Roman" w:hAnsi="Times New Roman" w:eastAsia="仿宋_GB2312"/>
          <w:color w:val="auto"/>
          <w:sz w:val="32"/>
          <w:szCs w:val="32"/>
          <w:lang w:eastAsia="zh-CN"/>
        </w:rPr>
        <w:t>；</w:t>
      </w:r>
    </w:p>
    <w:p>
      <w:pPr>
        <w:spacing w:line="56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（二）人员在申报开始日仍在职</w:t>
      </w:r>
      <w:r>
        <w:rPr>
          <w:rFonts w:hint="eastAsia" w:ascii="Times New Roman" w:hAnsi="Times New Roman" w:eastAsia="仿宋_GB2312"/>
          <w:color w:val="auto"/>
          <w:sz w:val="32"/>
          <w:szCs w:val="32"/>
          <w:lang w:eastAsia="zh-CN"/>
        </w:rPr>
        <w:t>；</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（三）人员上年度工资薪金总收入（税前）不低于25万元；</w:t>
      </w:r>
    </w:p>
    <w:p>
      <w:pPr>
        <w:spacing w:line="560" w:lineRule="exact"/>
        <w:ind w:firstLine="640" w:firstLineChars="200"/>
        <w:rPr>
          <w:rFonts w:ascii="Times New Roman" w:hAnsi="Times New Roman" w:eastAsia="仿宋_GB2312"/>
          <w:bCs/>
          <w:color w:val="auto"/>
          <w:kern w:val="0"/>
          <w:sz w:val="32"/>
          <w:szCs w:val="32"/>
        </w:rPr>
      </w:pPr>
      <w:r>
        <w:rPr>
          <w:rFonts w:hint="eastAsia" w:ascii="Times New Roman" w:hAnsi="Times New Roman" w:eastAsia="仿宋_GB2312"/>
          <w:color w:val="auto"/>
          <w:sz w:val="32"/>
          <w:szCs w:val="32"/>
        </w:rPr>
        <w:t>（四）企业不</w:t>
      </w:r>
      <w:r>
        <w:rPr>
          <w:rFonts w:ascii="Times New Roman" w:hAnsi="Times New Roman" w:eastAsia="仿宋_GB2312"/>
          <w:color w:val="auto"/>
          <w:sz w:val="32"/>
          <w:szCs w:val="32"/>
        </w:rPr>
        <w:t>存在</w:t>
      </w:r>
      <w:r>
        <w:rPr>
          <w:rFonts w:hint="eastAsia" w:ascii="Times New Roman" w:hAnsi="Times New Roman" w:eastAsia="仿宋_GB2312"/>
          <w:color w:val="auto"/>
          <w:sz w:val="32"/>
          <w:szCs w:val="32"/>
        </w:rPr>
        <w:t>《关于东莞市促进经济发展类专项资金不予资助范围的若干规定》（东财规〔2023〕2号）</w:t>
      </w:r>
      <w:r>
        <w:rPr>
          <w:rFonts w:ascii="Times New Roman" w:hAnsi="Times New Roman" w:eastAsia="仿宋_GB2312"/>
          <w:color w:val="auto"/>
          <w:sz w:val="32"/>
          <w:szCs w:val="32"/>
        </w:rPr>
        <w:t>所规定的不予资助情况</w:t>
      </w:r>
      <w:r>
        <w:rPr>
          <w:rFonts w:hint="eastAsia" w:ascii="Times New Roman" w:hAnsi="Times New Roman" w:eastAsia="仿宋_GB2312"/>
          <w:color w:val="auto"/>
          <w:sz w:val="32"/>
          <w:szCs w:val="32"/>
        </w:rPr>
        <w:t>。</w:t>
      </w:r>
    </w:p>
    <w:p>
      <w:pPr>
        <w:spacing w:line="640" w:lineRule="exact"/>
        <w:ind w:firstLine="640" w:firstLineChars="200"/>
        <w:rPr>
          <w:rFonts w:ascii="Times New Roman" w:hAnsi="Times New Roman" w:eastAsia="仿宋_GB2312"/>
          <w:color w:val="auto"/>
          <w:sz w:val="32"/>
          <w:szCs w:val="32"/>
        </w:rPr>
      </w:pPr>
      <w:r>
        <w:rPr>
          <w:rFonts w:ascii="Times New Roman" w:hAnsi="Times New Roman" w:eastAsia="黑体"/>
          <w:color w:val="auto"/>
          <w:sz w:val="32"/>
          <w:szCs w:val="32"/>
        </w:rPr>
        <w:t xml:space="preserve">第四条  </w:t>
      </w:r>
      <w:r>
        <w:rPr>
          <w:rFonts w:ascii="Times New Roman" w:hAnsi="Times New Roman" w:eastAsia="仿宋_GB2312"/>
          <w:color w:val="auto"/>
          <w:sz w:val="32"/>
          <w:szCs w:val="32"/>
        </w:rPr>
        <w:t>指标分配</w:t>
      </w:r>
    </w:p>
    <w:p>
      <w:pPr>
        <w:topLinePunct/>
        <w:autoSpaceDE w:val="0"/>
        <w:autoSpaceDN w:val="0"/>
        <w:snapToGrid w:val="0"/>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按照申报企业</w:t>
      </w:r>
      <w:r>
        <w:rPr>
          <w:rFonts w:hint="eastAsia" w:ascii="Times New Roman" w:hAnsi="Times New Roman" w:eastAsia="仿宋_GB2312"/>
          <w:color w:val="auto"/>
          <w:sz w:val="32"/>
          <w:szCs w:val="32"/>
        </w:rPr>
        <w:t>上</w:t>
      </w:r>
      <w:r>
        <w:rPr>
          <w:rFonts w:ascii="Times New Roman" w:hAnsi="Times New Roman" w:eastAsia="仿宋_GB2312"/>
          <w:color w:val="auto"/>
          <w:sz w:val="32"/>
          <w:szCs w:val="32"/>
        </w:rPr>
        <w:t>年度的营业收入额度划分为三个资助区间进行指标分配。企业</w:t>
      </w:r>
      <w:r>
        <w:rPr>
          <w:rFonts w:ascii="Times New Roman" w:hAnsi="Times New Roman" w:eastAsia="仿宋_GB2312"/>
          <w:color w:val="auto"/>
          <w:kern w:val="0"/>
          <w:sz w:val="32"/>
          <w:szCs w:val="32"/>
        </w:rPr>
        <w:t>可获得年度资助名额（人次）如下：</w:t>
      </w:r>
    </w:p>
    <w:tbl>
      <w:tblPr>
        <w:tblStyle w:val="8"/>
        <w:tblW w:w="8671" w:type="dxa"/>
        <w:jc w:val="center"/>
        <w:tblLayout w:type="autofit"/>
        <w:tblCellMar>
          <w:top w:w="0" w:type="dxa"/>
          <w:left w:w="108" w:type="dxa"/>
          <w:bottom w:w="0" w:type="dxa"/>
          <w:right w:w="108" w:type="dxa"/>
        </w:tblCellMar>
      </w:tblPr>
      <w:tblGrid>
        <w:gridCol w:w="2101"/>
        <w:gridCol w:w="2160"/>
        <w:gridCol w:w="2192"/>
        <w:gridCol w:w="2218"/>
      </w:tblGrid>
      <w:tr>
        <w:tblPrEx>
          <w:tblCellMar>
            <w:top w:w="0" w:type="dxa"/>
            <w:left w:w="108" w:type="dxa"/>
            <w:bottom w:w="0" w:type="dxa"/>
            <w:right w:w="108" w:type="dxa"/>
          </w:tblCellMar>
        </w:tblPrEx>
        <w:trPr>
          <w:trHeight w:val="506" w:hRule="atLeast"/>
          <w:jc w:val="center"/>
        </w:trPr>
        <w:tc>
          <w:tcPr>
            <w:tcW w:w="4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黑体"/>
                <w:color w:val="auto"/>
                <w:sz w:val="28"/>
                <w:szCs w:val="28"/>
              </w:rPr>
            </w:pPr>
            <w:bookmarkStart w:id="0" w:name="_Hlk68252619"/>
            <w:r>
              <w:rPr>
                <w:rFonts w:ascii="Times New Roman" w:hAnsi="Times New Roman" w:eastAsia="黑体"/>
                <w:color w:val="auto"/>
                <w:sz w:val="28"/>
                <w:szCs w:val="28"/>
              </w:rPr>
              <w:t>企业营收区间</w:t>
            </w:r>
          </w:p>
        </w:tc>
        <w:tc>
          <w:tcPr>
            <w:tcW w:w="21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黑体"/>
                <w:color w:val="auto"/>
                <w:sz w:val="28"/>
                <w:szCs w:val="28"/>
              </w:rPr>
            </w:pPr>
            <w:r>
              <w:rPr>
                <w:rFonts w:ascii="Times New Roman" w:hAnsi="Times New Roman" w:eastAsia="黑体"/>
                <w:color w:val="auto"/>
                <w:sz w:val="28"/>
                <w:szCs w:val="28"/>
              </w:rPr>
              <w:t>试点企业</w:t>
            </w:r>
          </w:p>
          <w:p>
            <w:pPr>
              <w:widowControl/>
              <w:spacing w:line="560" w:lineRule="exact"/>
              <w:jc w:val="center"/>
              <w:rPr>
                <w:rFonts w:ascii="Times New Roman" w:hAnsi="Times New Roman" w:eastAsia="黑体"/>
                <w:color w:val="auto"/>
                <w:sz w:val="28"/>
                <w:szCs w:val="28"/>
              </w:rPr>
            </w:pPr>
            <w:r>
              <w:rPr>
                <w:rFonts w:hint="eastAsia" w:ascii="楷体_GB2312" w:hAnsi="楷体_GB2312" w:eastAsia="楷体_GB2312" w:cs="楷体_GB2312"/>
                <w:color w:val="auto"/>
                <w:sz w:val="28"/>
                <w:szCs w:val="28"/>
              </w:rPr>
              <w:t>(国家“小巨人”)</w:t>
            </w:r>
          </w:p>
        </w:tc>
        <w:tc>
          <w:tcPr>
            <w:tcW w:w="22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黑体"/>
                <w:color w:val="auto"/>
                <w:sz w:val="28"/>
                <w:szCs w:val="28"/>
              </w:rPr>
            </w:pPr>
            <w:r>
              <w:rPr>
                <w:rFonts w:ascii="Times New Roman" w:hAnsi="Times New Roman" w:eastAsia="黑体"/>
                <w:color w:val="auto"/>
                <w:sz w:val="28"/>
                <w:szCs w:val="28"/>
              </w:rPr>
              <w:t>协同倍增企业</w:t>
            </w:r>
          </w:p>
          <w:p>
            <w:pPr>
              <w:widowControl/>
              <w:spacing w:line="560" w:lineRule="exact"/>
              <w:jc w:val="center"/>
              <w:rPr>
                <w:rFonts w:ascii="Times New Roman" w:hAnsi="Times New Roman" w:eastAsia="黑体"/>
                <w:color w:val="auto"/>
                <w:sz w:val="28"/>
                <w:szCs w:val="28"/>
              </w:rPr>
            </w:pPr>
            <w:r>
              <w:rPr>
                <w:rFonts w:hint="eastAsia" w:ascii="楷体_GB2312" w:hAnsi="楷体_GB2312" w:eastAsia="楷体_GB2312" w:cs="楷体_GB2312"/>
                <w:color w:val="auto"/>
                <w:sz w:val="28"/>
                <w:szCs w:val="28"/>
              </w:rPr>
              <w:t>(省“专精特新”)</w:t>
            </w:r>
          </w:p>
        </w:tc>
      </w:tr>
      <w:tr>
        <w:tblPrEx>
          <w:tblCellMar>
            <w:top w:w="0" w:type="dxa"/>
            <w:left w:w="108" w:type="dxa"/>
            <w:bottom w:w="0" w:type="dxa"/>
            <w:right w:w="108" w:type="dxa"/>
          </w:tblCellMar>
        </w:tblPrEx>
        <w:trPr>
          <w:trHeight w:val="655" w:hRule="atLeast"/>
          <w:jc w:val="center"/>
        </w:trPr>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黑体"/>
                <w:color w:val="auto"/>
                <w:sz w:val="28"/>
                <w:szCs w:val="28"/>
              </w:rPr>
            </w:pPr>
            <w:r>
              <w:rPr>
                <w:rFonts w:ascii="Times New Roman" w:hAnsi="Times New Roman" w:eastAsia="黑体"/>
                <w:color w:val="auto"/>
                <w:sz w:val="28"/>
                <w:szCs w:val="28"/>
              </w:rPr>
              <w:t>工业和商服类企业</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黑体"/>
                <w:color w:val="auto"/>
                <w:sz w:val="28"/>
                <w:szCs w:val="28"/>
              </w:rPr>
            </w:pPr>
            <w:r>
              <w:rPr>
                <w:rFonts w:ascii="Times New Roman" w:hAnsi="Times New Roman" w:eastAsia="黑体"/>
                <w:color w:val="auto"/>
                <w:sz w:val="28"/>
                <w:szCs w:val="28"/>
              </w:rPr>
              <w:t>软件与信息技术服务业企业</w:t>
            </w:r>
          </w:p>
        </w:tc>
        <w:tc>
          <w:tcPr>
            <w:tcW w:w="21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_GB2312"/>
                <w:color w:val="auto"/>
                <w:sz w:val="20"/>
                <w:szCs w:val="20"/>
              </w:rPr>
            </w:pPr>
          </w:p>
        </w:tc>
        <w:tc>
          <w:tcPr>
            <w:tcW w:w="22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_GB2312"/>
                <w:color w:val="auto"/>
                <w:sz w:val="20"/>
                <w:szCs w:val="20"/>
              </w:rPr>
            </w:pPr>
          </w:p>
        </w:tc>
      </w:tr>
      <w:tr>
        <w:tblPrEx>
          <w:tblCellMar>
            <w:top w:w="0" w:type="dxa"/>
            <w:left w:w="108" w:type="dxa"/>
            <w:bottom w:w="0" w:type="dxa"/>
            <w:right w:w="108" w:type="dxa"/>
          </w:tblCellMar>
        </w:tblPrEx>
        <w:trPr>
          <w:trHeight w:val="580" w:hRule="atLeast"/>
          <w:jc w:val="center"/>
        </w:trPr>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2亿元以下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5000万以下</w:t>
            </w: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3</w:t>
            </w:r>
          </w:p>
        </w:tc>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1</w:t>
            </w:r>
          </w:p>
        </w:tc>
      </w:tr>
      <w:tr>
        <w:tblPrEx>
          <w:tblCellMar>
            <w:top w:w="0" w:type="dxa"/>
            <w:left w:w="108" w:type="dxa"/>
            <w:bottom w:w="0" w:type="dxa"/>
            <w:right w:w="108" w:type="dxa"/>
          </w:tblCellMar>
        </w:tblPrEx>
        <w:trPr>
          <w:trHeight w:val="715" w:hRule="atLeast"/>
          <w:jc w:val="center"/>
        </w:trPr>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2亿（含）至10亿元</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5000万（含）至1亿元</w:t>
            </w: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6</w:t>
            </w:r>
          </w:p>
        </w:tc>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3</w:t>
            </w:r>
          </w:p>
        </w:tc>
      </w:tr>
      <w:tr>
        <w:tblPrEx>
          <w:tblCellMar>
            <w:top w:w="0" w:type="dxa"/>
            <w:left w:w="108" w:type="dxa"/>
            <w:bottom w:w="0" w:type="dxa"/>
            <w:right w:w="108" w:type="dxa"/>
          </w:tblCellMar>
        </w:tblPrEx>
        <w:trPr>
          <w:trHeight w:val="764" w:hRule="atLeast"/>
          <w:jc w:val="center"/>
        </w:trPr>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10亿元（含）以上</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1亿元（含）以上</w:t>
            </w: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10</w:t>
            </w:r>
          </w:p>
        </w:tc>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5</w:t>
            </w:r>
          </w:p>
        </w:tc>
      </w:tr>
      <w:bookmarkEnd w:id="0"/>
    </w:tbl>
    <w:p>
      <w:pPr>
        <w:pStyle w:val="2"/>
        <w:widowControl/>
        <w:spacing w:line="560" w:lineRule="exact"/>
        <w:ind w:firstLine="640" w:firstLineChars="200"/>
        <w:rPr>
          <w:bCs/>
          <w:color w:val="auto"/>
          <w:kern w:val="0"/>
          <w:szCs w:val="32"/>
        </w:rPr>
      </w:pPr>
      <w:r>
        <w:rPr>
          <w:rFonts w:hint="eastAsia"/>
          <w:color w:val="auto"/>
          <w:szCs w:val="32"/>
        </w:rPr>
        <w:t>若同时属于多个资助区间的企业，</w:t>
      </w:r>
      <w:r>
        <w:rPr>
          <w:color w:val="auto"/>
          <w:szCs w:val="32"/>
        </w:rPr>
        <w:t>按就高不就低原则进行资助</w:t>
      </w:r>
      <w:r>
        <w:rPr>
          <w:rFonts w:hint="eastAsia"/>
          <w:color w:val="auto"/>
          <w:szCs w:val="32"/>
        </w:rPr>
        <w:t>。</w:t>
      </w:r>
      <w:r>
        <w:rPr>
          <w:color w:val="auto"/>
          <w:szCs w:val="32"/>
        </w:rPr>
        <w:t>企业营业收入数据以部门提供为主，企业</w:t>
      </w:r>
      <w:r>
        <w:rPr>
          <w:rFonts w:hint="eastAsia"/>
          <w:color w:val="auto"/>
          <w:szCs w:val="32"/>
        </w:rPr>
        <w:t>骨干人员</w:t>
      </w:r>
      <w:r>
        <w:rPr>
          <w:color w:val="auto"/>
          <w:szCs w:val="32"/>
        </w:rPr>
        <w:t>薪酬</w:t>
      </w:r>
      <w:r>
        <w:rPr>
          <w:rFonts w:hint="eastAsia"/>
          <w:color w:val="auto"/>
          <w:szCs w:val="32"/>
        </w:rPr>
        <w:t>情况由市倍增办汇总后提请市税务部门提供。</w:t>
      </w:r>
    </w:p>
    <w:p>
      <w:pPr>
        <w:spacing w:line="640" w:lineRule="exact"/>
        <w:ind w:firstLine="640" w:firstLineChars="200"/>
        <w:rPr>
          <w:rFonts w:ascii="Times New Roman" w:hAnsi="Times New Roman" w:eastAsia="仿宋_GB2312"/>
          <w:color w:val="auto"/>
          <w:sz w:val="32"/>
          <w:szCs w:val="32"/>
        </w:rPr>
      </w:pPr>
      <w:r>
        <w:rPr>
          <w:rFonts w:ascii="Times New Roman" w:hAnsi="Times New Roman" w:eastAsia="黑体"/>
          <w:color w:val="auto"/>
          <w:sz w:val="32"/>
          <w:szCs w:val="32"/>
        </w:rPr>
        <w:t xml:space="preserve">第五条  </w:t>
      </w:r>
      <w:r>
        <w:rPr>
          <w:rFonts w:ascii="Times New Roman" w:hAnsi="Times New Roman" w:eastAsia="仿宋_GB2312"/>
          <w:color w:val="auto"/>
          <w:sz w:val="32"/>
          <w:szCs w:val="32"/>
        </w:rPr>
        <w:t>资助方式与标准</w:t>
      </w:r>
    </w:p>
    <w:p>
      <w:pPr>
        <w:spacing w:line="560" w:lineRule="exact"/>
        <w:ind w:firstLine="640" w:firstLineChars="200"/>
        <w:jc w:val="left"/>
        <w:rPr>
          <w:rFonts w:ascii="Times New Roman" w:hAnsi="Times New Roman" w:eastAsia="仿宋_GB2312"/>
          <w:color w:val="auto"/>
          <w:sz w:val="32"/>
          <w:szCs w:val="32"/>
        </w:rPr>
      </w:pPr>
      <w:r>
        <w:rPr>
          <w:rFonts w:hint="eastAsia" w:ascii="Times New Roman" w:hAnsi="Times New Roman" w:eastAsia="仿宋_GB2312"/>
          <w:color w:val="auto"/>
          <w:sz w:val="32"/>
          <w:szCs w:val="32"/>
        </w:rPr>
        <w:t>为提高企业获得感，简化流程，本项目将通过“企莞家”平台试行“免申即享”。</w:t>
      </w:r>
    </w:p>
    <w:p>
      <w:pPr>
        <w:widowControl/>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申报</w:t>
      </w:r>
      <w:r>
        <w:rPr>
          <w:rFonts w:ascii="Times New Roman" w:hAnsi="Times New Roman" w:eastAsia="仿宋_GB2312"/>
          <w:color w:val="auto"/>
          <w:sz w:val="32"/>
          <w:szCs w:val="32"/>
        </w:rPr>
        <w:t>年</w:t>
      </w:r>
      <w:r>
        <w:rPr>
          <w:rFonts w:hint="eastAsia" w:ascii="Times New Roman" w:hAnsi="Times New Roman" w:eastAsia="仿宋_GB2312"/>
          <w:color w:val="auto"/>
          <w:sz w:val="32"/>
          <w:szCs w:val="32"/>
        </w:rPr>
        <w:t>度</w:t>
      </w:r>
      <w:r>
        <w:rPr>
          <w:rFonts w:ascii="Times New Roman" w:hAnsi="Times New Roman" w:eastAsia="仿宋_GB2312"/>
          <w:color w:val="auto"/>
          <w:sz w:val="32"/>
          <w:szCs w:val="32"/>
        </w:rPr>
        <w:t>“倍增计划”骨干人员资助项目</w:t>
      </w:r>
      <w:r>
        <w:rPr>
          <w:rFonts w:hint="eastAsia" w:ascii="Times New Roman" w:hAnsi="Times New Roman" w:eastAsia="仿宋_GB2312"/>
          <w:color w:val="auto"/>
          <w:sz w:val="32"/>
          <w:szCs w:val="32"/>
        </w:rPr>
        <w:t>由</w:t>
      </w:r>
      <w:r>
        <w:rPr>
          <w:rFonts w:ascii="Times New Roman" w:hAnsi="Times New Roman" w:eastAsia="仿宋_GB2312"/>
          <w:color w:val="auto"/>
          <w:sz w:val="32"/>
          <w:szCs w:val="32"/>
        </w:rPr>
        <w:t>薪酬补贴和个人住房补贴两个项目</w:t>
      </w:r>
      <w:r>
        <w:rPr>
          <w:rFonts w:hint="eastAsia" w:ascii="Times New Roman" w:hAnsi="Times New Roman" w:eastAsia="仿宋_GB2312"/>
          <w:color w:val="auto"/>
          <w:sz w:val="32"/>
          <w:szCs w:val="32"/>
        </w:rPr>
        <w:t>两部分组成</w:t>
      </w:r>
      <w:r>
        <w:rPr>
          <w:rFonts w:ascii="Times New Roman" w:hAnsi="Times New Roman" w:eastAsia="仿宋_GB2312"/>
          <w:color w:val="auto"/>
          <w:sz w:val="32"/>
          <w:szCs w:val="32"/>
        </w:rPr>
        <w:t>，试点企业指标可同时享受，协同倍增企业指标只适用享受“薪酬补贴”单个项目。</w:t>
      </w:r>
    </w:p>
    <w:p>
      <w:pPr>
        <w:spacing w:line="560" w:lineRule="exact"/>
        <w:ind w:firstLine="640" w:firstLineChars="200"/>
        <w:rPr>
          <w:rFonts w:ascii="Times New Roman" w:hAnsi="Times New Roman" w:eastAsia="楷体_GB2312"/>
          <w:color w:val="auto"/>
          <w:kern w:val="0"/>
          <w:sz w:val="32"/>
          <w:szCs w:val="32"/>
        </w:rPr>
      </w:pPr>
      <w:r>
        <w:rPr>
          <w:rFonts w:ascii="Times New Roman" w:hAnsi="Times New Roman" w:eastAsia="楷体_GB2312"/>
          <w:color w:val="auto"/>
          <w:kern w:val="0"/>
          <w:sz w:val="32"/>
          <w:szCs w:val="32"/>
        </w:rPr>
        <w:t>（一）</w:t>
      </w:r>
      <w:r>
        <w:rPr>
          <w:rFonts w:hint="eastAsia" w:ascii="楷体_GB2312" w:hAnsi="Times New Roman" w:eastAsia="楷体_GB2312"/>
          <w:bCs/>
          <w:color w:val="auto"/>
          <w:sz w:val="32"/>
          <w:szCs w:val="32"/>
        </w:rPr>
        <w:t>薪酬补贴</w:t>
      </w:r>
      <w:r>
        <w:rPr>
          <w:rFonts w:hint="eastAsia" w:ascii="Times New Roman" w:hAnsi="Times New Roman" w:eastAsia="楷体_GB2312"/>
          <w:color w:val="auto"/>
          <w:kern w:val="0"/>
          <w:sz w:val="32"/>
          <w:szCs w:val="32"/>
        </w:rPr>
        <w:t>项目</w:t>
      </w:r>
    </w:p>
    <w:p>
      <w:pPr>
        <w:numPr>
          <w:ilvl w:val="0"/>
          <w:numId w:val="2"/>
        </w:numPr>
        <w:spacing w:line="560" w:lineRule="exact"/>
        <w:ind w:firstLine="640" w:firstLineChars="200"/>
        <w:rPr>
          <w:rFonts w:ascii="Times New Roman" w:hAnsi="Times New Roman" w:eastAsia="仿宋_GB2312"/>
          <w:b/>
          <w:color w:val="auto"/>
          <w:sz w:val="32"/>
          <w:szCs w:val="32"/>
        </w:rPr>
      </w:pPr>
      <w:r>
        <w:rPr>
          <w:rFonts w:ascii="Times New Roman" w:hAnsi="Times New Roman" w:eastAsia="仿宋_GB2312"/>
          <w:color w:val="auto"/>
          <w:sz w:val="32"/>
          <w:szCs w:val="32"/>
        </w:rPr>
        <w:t>按</w:t>
      </w:r>
      <w:r>
        <w:rPr>
          <w:rFonts w:hint="eastAsia" w:ascii="Times New Roman" w:hAnsi="Times New Roman" w:eastAsia="仿宋_GB2312"/>
          <w:color w:val="auto"/>
          <w:sz w:val="32"/>
          <w:szCs w:val="32"/>
        </w:rPr>
        <w:t>骨干人员上年度工资薪金收入总额（税前）一定比例予以补贴，具体补贴比例根据当年资金预算等因素确定。</w:t>
      </w:r>
    </w:p>
    <w:p>
      <w:pPr>
        <w:numPr>
          <w:ilvl w:val="0"/>
          <w:numId w:val="2"/>
        </w:numPr>
        <w:spacing w:line="560" w:lineRule="exact"/>
        <w:ind w:firstLine="640" w:firstLineChars="200"/>
        <w:rPr>
          <w:rFonts w:ascii="Times New Roman" w:hAnsi="Times New Roman" w:eastAsia="仿宋_GB2312"/>
          <w:b/>
          <w:color w:val="auto"/>
          <w:sz w:val="32"/>
          <w:szCs w:val="32"/>
        </w:rPr>
      </w:pPr>
      <w:r>
        <w:rPr>
          <w:rFonts w:hint="eastAsia" w:ascii="Times New Roman" w:hAnsi="Times New Roman" w:eastAsia="仿宋_GB2312"/>
          <w:color w:val="auto"/>
          <w:sz w:val="32"/>
          <w:szCs w:val="32"/>
        </w:rPr>
        <w:t>补贴</w:t>
      </w:r>
      <w:r>
        <w:rPr>
          <w:rFonts w:ascii="Times New Roman" w:hAnsi="Times New Roman" w:eastAsia="仿宋_GB2312"/>
          <w:color w:val="auto"/>
          <w:sz w:val="32"/>
          <w:szCs w:val="32"/>
        </w:rPr>
        <w:t>金额向下取整至百元为单位，每人每年最高不超过100万元（含）。</w:t>
      </w:r>
    </w:p>
    <w:p>
      <w:pPr>
        <w:numPr>
          <w:ilvl w:val="0"/>
          <w:numId w:val="2"/>
        </w:numPr>
        <w:spacing w:line="560" w:lineRule="exact"/>
        <w:ind w:firstLine="640" w:firstLineChars="200"/>
        <w:rPr>
          <w:rFonts w:ascii="Times New Roman" w:hAnsi="Times New Roman" w:eastAsia="楷体_GB2312"/>
          <w:color w:val="auto"/>
          <w:kern w:val="0"/>
          <w:sz w:val="32"/>
          <w:szCs w:val="32"/>
        </w:rPr>
      </w:pPr>
      <w:r>
        <w:rPr>
          <w:rFonts w:ascii="Times New Roman" w:hAnsi="Times New Roman" w:eastAsia="仿宋_GB2312"/>
          <w:color w:val="auto"/>
          <w:sz w:val="32"/>
          <w:szCs w:val="32"/>
        </w:rPr>
        <w:t>如骨干人员入职企业时间未满一个完整会计年度，</w:t>
      </w:r>
      <w:r>
        <w:rPr>
          <w:rFonts w:hint="eastAsia" w:ascii="Times New Roman" w:hAnsi="Times New Roman" w:eastAsia="仿宋_GB2312"/>
          <w:color w:val="auto"/>
          <w:sz w:val="32"/>
          <w:szCs w:val="32"/>
        </w:rPr>
        <w:t>补贴</w:t>
      </w:r>
      <w:r>
        <w:rPr>
          <w:rFonts w:ascii="Times New Roman" w:hAnsi="Times New Roman" w:eastAsia="仿宋_GB2312"/>
          <w:color w:val="auto"/>
          <w:sz w:val="32"/>
          <w:szCs w:val="32"/>
        </w:rPr>
        <w:t>金额</w:t>
      </w:r>
      <w:r>
        <w:rPr>
          <w:rFonts w:hint="eastAsia" w:ascii="Times New Roman" w:hAnsi="Times New Roman" w:eastAsia="仿宋_GB2312"/>
          <w:color w:val="auto"/>
          <w:sz w:val="32"/>
          <w:szCs w:val="32"/>
        </w:rPr>
        <w:t>按</w:t>
      </w:r>
      <w:r>
        <w:rPr>
          <w:rFonts w:ascii="Times New Roman" w:hAnsi="Times New Roman" w:eastAsia="仿宋_GB2312"/>
          <w:color w:val="auto"/>
          <w:sz w:val="32"/>
          <w:szCs w:val="32"/>
        </w:rPr>
        <w:t>该员工入职本企业、且在本企业缴纳个人所得税当月起至</w:t>
      </w:r>
      <w:r>
        <w:rPr>
          <w:rFonts w:hint="eastAsia" w:ascii="Times New Roman" w:hAnsi="Times New Roman" w:eastAsia="仿宋_GB2312"/>
          <w:color w:val="auto"/>
          <w:sz w:val="32"/>
          <w:szCs w:val="32"/>
        </w:rPr>
        <w:t>上年度12</w:t>
      </w:r>
      <w:r>
        <w:rPr>
          <w:rFonts w:ascii="Times New Roman" w:hAnsi="Times New Roman" w:eastAsia="仿宋_GB2312"/>
          <w:color w:val="auto"/>
          <w:sz w:val="32"/>
          <w:szCs w:val="32"/>
        </w:rPr>
        <w:t>月止</w:t>
      </w:r>
      <w:r>
        <w:rPr>
          <w:rFonts w:hint="eastAsia" w:ascii="Times New Roman" w:hAnsi="Times New Roman" w:eastAsia="仿宋_GB2312"/>
          <w:color w:val="auto"/>
          <w:sz w:val="32"/>
          <w:szCs w:val="32"/>
        </w:rPr>
        <w:t>的计月方式计算</w:t>
      </w:r>
      <w:r>
        <w:rPr>
          <w:rFonts w:ascii="Times New Roman" w:hAnsi="Times New Roman" w:eastAsia="仿宋_GB2312"/>
          <w:color w:val="auto"/>
          <w:sz w:val="32"/>
          <w:szCs w:val="32"/>
        </w:rPr>
        <w:t>。</w:t>
      </w:r>
    </w:p>
    <w:p>
      <w:pPr>
        <w:numPr>
          <w:ilvl w:val="255"/>
          <w:numId w:val="0"/>
        </w:numPr>
        <w:spacing w:line="560" w:lineRule="exact"/>
        <w:ind w:firstLine="640" w:firstLineChars="200"/>
        <w:rPr>
          <w:rFonts w:ascii="Times New Roman" w:hAnsi="Times New Roman" w:eastAsia="仿宋_GB2312"/>
          <w:b/>
          <w:bCs/>
          <w:color w:val="auto"/>
          <w:kern w:val="0"/>
          <w:sz w:val="32"/>
          <w:szCs w:val="32"/>
        </w:rPr>
      </w:pPr>
      <w:r>
        <w:rPr>
          <w:rFonts w:hint="eastAsia" w:ascii="Times New Roman" w:hAnsi="Times New Roman" w:eastAsia="楷体_GB2312"/>
          <w:color w:val="auto"/>
          <w:kern w:val="0"/>
          <w:sz w:val="32"/>
          <w:szCs w:val="32"/>
        </w:rPr>
        <w:t>（二）</w:t>
      </w:r>
      <w:r>
        <w:rPr>
          <w:rFonts w:ascii="Times New Roman" w:hAnsi="Times New Roman" w:eastAsia="楷体_GB2312"/>
          <w:color w:val="auto"/>
          <w:kern w:val="0"/>
          <w:sz w:val="32"/>
          <w:szCs w:val="32"/>
        </w:rPr>
        <w:t>个人住房补贴项目</w:t>
      </w:r>
    </w:p>
    <w:p>
      <w:pPr>
        <w:numPr>
          <w:ilvl w:val="0"/>
          <w:numId w:val="3"/>
        </w:num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骨干人员</w:t>
      </w:r>
      <w:r>
        <w:rPr>
          <w:rFonts w:ascii="Times New Roman" w:hAnsi="Times New Roman" w:eastAsia="仿宋_GB2312"/>
          <w:color w:val="auto"/>
          <w:sz w:val="32"/>
          <w:szCs w:val="32"/>
        </w:rPr>
        <w:t>每</w:t>
      </w:r>
      <w:r>
        <w:rPr>
          <w:rFonts w:hint="eastAsia" w:ascii="Times New Roman" w:hAnsi="Times New Roman" w:eastAsia="仿宋_GB2312"/>
          <w:color w:val="auto"/>
          <w:sz w:val="32"/>
          <w:szCs w:val="32"/>
        </w:rPr>
        <w:t>人每月</w:t>
      </w:r>
      <w:r>
        <w:rPr>
          <w:rFonts w:ascii="Times New Roman" w:hAnsi="Times New Roman" w:eastAsia="仿宋_GB2312"/>
          <w:color w:val="auto"/>
          <w:sz w:val="32"/>
          <w:szCs w:val="32"/>
        </w:rPr>
        <w:t>给予</w:t>
      </w:r>
      <w:r>
        <w:rPr>
          <w:rFonts w:hint="eastAsia" w:ascii="Times New Roman" w:hAnsi="Times New Roman" w:eastAsia="仿宋_GB2312"/>
          <w:color w:val="auto"/>
          <w:sz w:val="32"/>
          <w:szCs w:val="32"/>
        </w:rPr>
        <w:t>2000</w:t>
      </w:r>
      <w:r>
        <w:rPr>
          <w:rFonts w:ascii="Times New Roman" w:hAnsi="Times New Roman" w:eastAsia="仿宋_GB2312"/>
          <w:color w:val="auto"/>
          <w:sz w:val="32"/>
          <w:szCs w:val="32"/>
        </w:rPr>
        <w:t>元的住房补贴</w:t>
      </w:r>
      <w:r>
        <w:rPr>
          <w:rFonts w:hint="eastAsia" w:ascii="Times New Roman" w:hAnsi="Times New Roman" w:eastAsia="仿宋_GB2312"/>
          <w:color w:val="auto"/>
          <w:sz w:val="32"/>
          <w:szCs w:val="32"/>
        </w:rPr>
        <w:t>，具体补贴金额根据当年资金预算等因素确定。</w:t>
      </w:r>
    </w:p>
    <w:p>
      <w:pPr>
        <w:keepNext w:val="0"/>
        <w:keepLines w:val="0"/>
        <w:pageBreakBefore w:val="0"/>
        <w:numPr>
          <w:ilvl w:val="0"/>
          <w:numId w:val="3"/>
        </w:numPr>
        <w:kinsoku/>
        <w:wordWrap/>
        <w:overflowPunct/>
        <w:bidi w:val="0"/>
        <w:adjustRightInd/>
        <w:spacing w:line="580" w:lineRule="exact"/>
        <w:ind w:firstLine="640" w:firstLineChars="200"/>
        <w:textAlignment w:val="auto"/>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如骨干人员入职企业时间未满一个完整会计年度，</w:t>
      </w:r>
      <w:r>
        <w:rPr>
          <w:rFonts w:hint="eastAsia" w:ascii="Times New Roman" w:hAnsi="Times New Roman" w:eastAsia="仿宋_GB2312"/>
          <w:color w:val="auto"/>
          <w:sz w:val="32"/>
          <w:szCs w:val="32"/>
          <w:u w:val="none"/>
        </w:rPr>
        <w:t>补贴</w:t>
      </w:r>
      <w:r>
        <w:rPr>
          <w:rFonts w:ascii="Times New Roman" w:hAnsi="Times New Roman" w:eastAsia="仿宋_GB2312"/>
          <w:color w:val="auto"/>
          <w:sz w:val="32"/>
          <w:szCs w:val="32"/>
          <w:u w:val="none"/>
        </w:rPr>
        <w:t>金额</w:t>
      </w:r>
      <w:r>
        <w:rPr>
          <w:rFonts w:hint="eastAsia" w:ascii="Times New Roman" w:hAnsi="Times New Roman" w:eastAsia="仿宋_GB2312"/>
          <w:color w:val="auto"/>
          <w:sz w:val="32"/>
          <w:szCs w:val="32"/>
          <w:u w:val="none"/>
        </w:rPr>
        <w:t>按</w:t>
      </w:r>
      <w:r>
        <w:rPr>
          <w:rFonts w:ascii="Times New Roman" w:hAnsi="Times New Roman" w:eastAsia="仿宋_GB2312"/>
          <w:color w:val="auto"/>
          <w:sz w:val="32"/>
          <w:szCs w:val="32"/>
          <w:u w:val="none"/>
        </w:rPr>
        <w:t>该员工入职本企业、且在本企业缴纳个人所得税当月起至</w:t>
      </w:r>
      <w:r>
        <w:rPr>
          <w:rFonts w:hint="eastAsia" w:ascii="Times New Roman" w:hAnsi="Times New Roman" w:eastAsia="仿宋_GB2312"/>
          <w:color w:val="auto"/>
          <w:sz w:val="32"/>
          <w:szCs w:val="32"/>
          <w:u w:val="none"/>
          <w:lang w:eastAsia="zh-CN"/>
        </w:rPr>
        <w:t>上年度</w:t>
      </w:r>
      <w:r>
        <w:rPr>
          <w:rFonts w:ascii="Times New Roman" w:hAnsi="Times New Roman" w:eastAsia="仿宋_GB2312"/>
          <w:color w:val="auto"/>
          <w:sz w:val="32"/>
          <w:szCs w:val="32"/>
          <w:u w:val="none"/>
        </w:rPr>
        <w:t>12月止</w:t>
      </w:r>
      <w:r>
        <w:rPr>
          <w:rFonts w:hint="eastAsia" w:ascii="Times New Roman" w:hAnsi="Times New Roman" w:eastAsia="仿宋_GB2312"/>
          <w:color w:val="auto"/>
          <w:sz w:val="32"/>
          <w:szCs w:val="32"/>
          <w:u w:val="none"/>
        </w:rPr>
        <w:t>的计月方式计算</w:t>
      </w:r>
      <w:r>
        <w:rPr>
          <w:rFonts w:ascii="Times New Roman" w:hAnsi="Times New Roman" w:eastAsia="仿宋_GB2312"/>
          <w:color w:val="auto"/>
          <w:sz w:val="32"/>
          <w:szCs w:val="32"/>
          <w:u w:val="none"/>
        </w:rPr>
        <w:t>。</w:t>
      </w:r>
    </w:p>
    <w:p>
      <w:pPr>
        <w:keepNext w:val="0"/>
        <w:keepLines w:val="0"/>
        <w:pageBreakBefore w:val="0"/>
        <w:kinsoku/>
        <w:wordWrap/>
        <w:overflowPunct/>
        <w:bidi w:val="0"/>
        <w:adjustRightInd/>
        <w:spacing w:line="580" w:lineRule="exact"/>
        <w:ind w:firstLine="640" w:firstLineChars="200"/>
        <w:textAlignment w:val="auto"/>
        <w:rPr>
          <w:rFonts w:ascii="Times New Roman" w:hAnsi="Times New Roman" w:eastAsia="仿宋_GB2312"/>
          <w:color w:val="auto"/>
          <w:sz w:val="32"/>
          <w:szCs w:val="32"/>
          <w:u w:val="none"/>
        </w:rPr>
      </w:pPr>
      <w:r>
        <w:rPr>
          <w:rFonts w:hint="eastAsia" w:ascii="Times New Roman" w:hAnsi="Times New Roman" w:eastAsia="仿宋_GB2312"/>
          <w:color w:val="auto"/>
          <w:sz w:val="32"/>
          <w:szCs w:val="32"/>
          <w:u w:val="none"/>
        </w:rPr>
        <w:t>以上两个项目，</w:t>
      </w:r>
      <w:r>
        <w:rPr>
          <w:rFonts w:ascii="Times New Roman" w:hAnsi="Times New Roman" w:eastAsia="仿宋_GB2312"/>
          <w:color w:val="auto"/>
          <w:sz w:val="32"/>
          <w:szCs w:val="32"/>
          <w:u w:val="none"/>
        </w:rPr>
        <w:t>如申</w:t>
      </w:r>
      <w:r>
        <w:rPr>
          <w:rFonts w:hint="eastAsia" w:ascii="Times New Roman" w:hAnsi="Times New Roman" w:eastAsia="仿宋_GB2312"/>
          <w:color w:val="auto"/>
          <w:sz w:val="32"/>
          <w:szCs w:val="32"/>
          <w:u w:val="none"/>
        </w:rPr>
        <w:t>请</w:t>
      </w:r>
      <w:r>
        <w:rPr>
          <w:rFonts w:ascii="Times New Roman" w:hAnsi="Times New Roman" w:eastAsia="仿宋_GB2312"/>
          <w:color w:val="auto"/>
          <w:sz w:val="32"/>
          <w:szCs w:val="32"/>
          <w:u w:val="none"/>
        </w:rPr>
        <w:t>人员已享受我市</w:t>
      </w:r>
      <w:r>
        <w:rPr>
          <w:rFonts w:hint="eastAsia" w:ascii="楷体_GB2312" w:hAnsi="Times New Roman" w:eastAsia="楷体_GB2312"/>
          <w:bCs/>
          <w:color w:val="auto"/>
          <w:sz w:val="32"/>
          <w:szCs w:val="32"/>
          <w:u w:val="none"/>
        </w:rPr>
        <w:t>薪酬补</w:t>
      </w:r>
      <w:r>
        <w:rPr>
          <w:rFonts w:hint="eastAsia" w:ascii="楷体_GB2312" w:hAnsi="Times New Roman" w:eastAsia="楷体_GB2312"/>
          <w:bCs/>
          <w:color w:val="auto"/>
          <w:sz w:val="32"/>
          <w:szCs w:val="32"/>
          <w:u w:val="none"/>
          <w:lang w:eastAsia="zh-CN"/>
        </w:rPr>
        <w:t>贴</w:t>
      </w:r>
      <w:r>
        <w:rPr>
          <w:rFonts w:hint="eastAsia" w:ascii="楷体_GB2312" w:hAnsi="Times New Roman" w:eastAsia="楷体_GB2312"/>
          <w:bCs/>
          <w:color w:val="auto"/>
          <w:sz w:val="32"/>
          <w:szCs w:val="32"/>
          <w:u w:val="none"/>
        </w:rPr>
        <w:t>、</w:t>
      </w:r>
      <w:r>
        <w:rPr>
          <w:rFonts w:ascii="Times New Roman" w:hAnsi="Times New Roman" w:eastAsia="仿宋_GB2312"/>
          <w:color w:val="auto"/>
          <w:sz w:val="32"/>
          <w:szCs w:val="32"/>
          <w:u w:val="none"/>
        </w:rPr>
        <w:t>住房保障及有关人才政策待遇，将按“就高从优，不重复”的原则进行资助。</w:t>
      </w:r>
    </w:p>
    <w:p>
      <w:pPr>
        <w:spacing w:line="640" w:lineRule="exact"/>
        <w:ind w:firstLine="640" w:firstLineChars="200"/>
        <w:rPr>
          <w:rFonts w:ascii="Times New Roman" w:hAnsi="Times New Roman" w:eastAsia="仿宋_GB2312"/>
          <w:color w:val="auto"/>
          <w:sz w:val="32"/>
          <w:szCs w:val="32"/>
        </w:rPr>
      </w:pPr>
      <w:r>
        <w:rPr>
          <w:rFonts w:ascii="Times New Roman" w:hAnsi="Times New Roman" w:eastAsia="黑体"/>
          <w:color w:val="auto"/>
          <w:sz w:val="32"/>
          <w:szCs w:val="32"/>
        </w:rPr>
        <w:t>第六条</w:t>
      </w:r>
      <w:r>
        <w:rPr>
          <w:rFonts w:ascii="Times New Roman" w:hAnsi="Times New Roman" w:eastAsia="仿宋_GB2312"/>
          <w:color w:val="auto"/>
          <w:sz w:val="32"/>
          <w:szCs w:val="32"/>
        </w:rPr>
        <w:t xml:space="preserve">  工作流程</w:t>
      </w:r>
    </w:p>
    <w:p>
      <w:pPr>
        <w:spacing w:line="64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（一）收集符合条件的人员名单。市倍增办根据企业营业收入增长情况拟出符合条件的企业名单，同时根据企业营业收入分配每家企业可获得年度资助名额（人次），然后下发通知至各镇街</w:t>
      </w:r>
      <w:r>
        <w:rPr>
          <w:rFonts w:hint="eastAsia" w:ascii="Times New Roman" w:hAnsi="Times New Roman" w:eastAsia="仿宋_GB2312"/>
          <w:color w:val="auto"/>
          <w:sz w:val="32"/>
          <w:szCs w:val="32"/>
          <w:lang w:eastAsia="zh-CN"/>
        </w:rPr>
        <w:t>（园区）</w:t>
      </w:r>
      <w:r>
        <w:rPr>
          <w:rFonts w:hint="eastAsia" w:ascii="Times New Roman" w:hAnsi="Times New Roman" w:eastAsia="仿宋_GB2312"/>
          <w:color w:val="auto"/>
          <w:sz w:val="32"/>
          <w:szCs w:val="32"/>
        </w:rPr>
        <w:t>，各镇街（园区）根据附件中的名单组织区域内企业据实填报符合条件的骨干人员基本情况，汇总后反馈至“东莞市工业和信息化局\市倍增办”OA邮箱。</w:t>
      </w:r>
    </w:p>
    <w:p>
      <w:pPr>
        <w:spacing w:line="64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（二）确定奖励人员名单。市倍增办汇总收集到的骨干人员名单情况表，然后函请市税务部门提供骨干人员</w:t>
      </w:r>
      <w:r>
        <w:rPr>
          <w:rFonts w:hint="eastAsia" w:ascii="Times New Roman" w:hAnsi="Times New Roman" w:eastAsia="仿宋_GB2312"/>
          <w:color w:val="auto"/>
          <w:sz w:val="32"/>
          <w:szCs w:val="32"/>
          <w:lang w:eastAsia="zh-CN"/>
        </w:rPr>
        <w:t>上年度</w:t>
      </w:r>
      <w:r>
        <w:rPr>
          <w:rFonts w:hint="eastAsia" w:ascii="Times New Roman" w:hAnsi="Times New Roman" w:eastAsia="仿宋_GB2312"/>
          <w:color w:val="auto"/>
          <w:sz w:val="32"/>
          <w:szCs w:val="32"/>
        </w:rPr>
        <w:t>在企业工资薪金总收入情况。根据市税务部门提供的人员工资薪金总收入情况形成初步名单，经征求部门意见、社会公示等环节，确定拟奖励金额。列入拟奖励名单的企业明确符合条件后，登录“企莞家”平台进行无异议确认。</w:t>
      </w:r>
    </w:p>
    <w:p>
      <w:pPr>
        <w:spacing w:line="64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（三）确定奖励计划。市倍增办根据资助标准和经企业确认后的拟奖励人员名单及金额，向市财政局申请</w:t>
      </w:r>
      <w:r>
        <w:rPr>
          <w:rFonts w:hint="eastAsia" w:ascii="Times New Roman" w:hAnsi="Times New Roman" w:eastAsia="仿宋_GB2312"/>
          <w:color w:val="auto"/>
          <w:sz w:val="32"/>
          <w:szCs w:val="32"/>
          <w:lang w:eastAsia="zh-CN"/>
        </w:rPr>
        <w:t>下一年度</w:t>
      </w:r>
      <w:r>
        <w:rPr>
          <w:rFonts w:hint="eastAsia" w:ascii="Times New Roman" w:hAnsi="Times New Roman" w:eastAsia="仿宋_GB2312"/>
          <w:color w:val="auto"/>
          <w:sz w:val="32"/>
          <w:szCs w:val="32"/>
        </w:rPr>
        <w:t>预算资金。市级财政预算下达后，市倍增办根据预算规模、拟奖励资金等因素，可适当调整资助标准，拟定奖励计划，上报市政府审定。</w:t>
      </w:r>
    </w:p>
    <w:p>
      <w:pPr>
        <w:spacing w:line="64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（四）资金拨付。列入奖励计划的骨干人员在“企莞家”平台进行收款账号确认，无需填报或上传申报资料，即可领取奖励资金。</w:t>
      </w:r>
    </w:p>
    <w:p>
      <w:pPr>
        <w:spacing w:line="640" w:lineRule="exact"/>
        <w:ind w:firstLine="640" w:firstLineChars="200"/>
        <w:rPr>
          <w:rFonts w:ascii="Times New Roman" w:hAnsi="Times New Roman" w:eastAsia="仿宋_GB2312"/>
          <w:color w:val="000000"/>
          <w:kern w:val="0"/>
          <w:sz w:val="32"/>
          <w:szCs w:val="32"/>
        </w:rPr>
      </w:pPr>
      <w:r>
        <w:rPr>
          <w:rFonts w:ascii="Times New Roman" w:hAnsi="Times New Roman" w:eastAsia="黑体"/>
          <w:sz w:val="32"/>
          <w:szCs w:val="32"/>
        </w:rPr>
        <w:t>第七条</w:t>
      </w:r>
      <w:r>
        <w:rPr>
          <w:rFonts w:ascii="Times New Roman" w:hAnsi="Times New Roman" w:eastAsia="仿宋_GB2312"/>
          <w:sz w:val="32"/>
          <w:szCs w:val="32"/>
        </w:rPr>
        <w:t xml:space="preserve">  </w:t>
      </w:r>
      <w:r>
        <w:rPr>
          <w:rFonts w:hint="eastAsia" w:ascii="Times New Roman" w:hAnsi="Times New Roman" w:eastAsia="仿宋_GB2312"/>
          <w:color w:val="000000"/>
          <w:kern w:val="0"/>
          <w:sz w:val="32"/>
          <w:szCs w:val="32"/>
        </w:rPr>
        <w:t>监督</w:t>
      </w:r>
      <w:r>
        <w:rPr>
          <w:rFonts w:ascii="Times New Roman" w:hAnsi="Times New Roman" w:eastAsia="仿宋_GB2312"/>
          <w:color w:val="000000"/>
          <w:kern w:val="0"/>
          <w:sz w:val="32"/>
          <w:szCs w:val="32"/>
        </w:rPr>
        <w:t>管理</w:t>
      </w:r>
    </w:p>
    <w:p>
      <w:pPr>
        <w:pStyle w:val="6"/>
        <w:widowControl/>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受奖励单位要</w:t>
      </w:r>
      <w:r>
        <w:rPr>
          <w:rFonts w:hint="eastAsia" w:ascii="Times New Roman" w:hAnsi="Times New Roman" w:eastAsia="仿宋_GB2312"/>
          <w:kern w:val="2"/>
          <w:sz w:val="32"/>
          <w:szCs w:val="32"/>
        </w:rPr>
        <w:t>根据通知和文件要求据实上报符合条件的骨干人员基本情况，如弄虚作假，一旦核实，后果自负。</w:t>
      </w:r>
      <w:r>
        <w:rPr>
          <w:rFonts w:ascii="Times New Roman" w:hAnsi="Times New Roman" w:eastAsia="仿宋_GB2312"/>
          <w:kern w:val="2"/>
          <w:sz w:val="32"/>
          <w:szCs w:val="32"/>
        </w:rPr>
        <w:t>并自觉接受工信、财政、审计、监察等部门的监督检查。</w:t>
      </w:r>
      <w:r>
        <w:rPr>
          <w:rFonts w:hint="eastAsia" w:ascii="Times New Roman" w:hAnsi="Times New Roman" w:eastAsia="仿宋_GB2312"/>
          <w:kern w:val="2"/>
          <w:sz w:val="32"/>
          <w:szCs w:val="32"/>
        </w:rPr>
        <w:t>有关部门在履行职能过程中，需要受资助单位提供有关数据或信息的，受资助单位要积极配合，及时提供完整、真实的数据信息。</w:t>
      </w:r>
    </w:p>
    <w:p>
      <w:pPr>
        <w:pStyle w:val="6"/>
        <w:widowControl/>
        <w:spacing w:beforeAutospacing="0" w:afterAutospacing="0" w:line="560" w:lineRule="exact"/>
        <w:ind w:firstLine="640" w:firstLineChars="200"/>
        <w:jc w:val="both"/>
        <w:rPr>
          <w:rFonts w:ascii="Times New Roman" w:hAnsi="Times New Roman" w:eastAsia="仿宋_GB2312"/>
          <w:color w:val="auto"/>
          <w:kern w:val="2"/>
          <w:sz w:val="32"/>
          <w:szCs w:val="32"/>
        </w:rPr>
      </w:pPr>
      <w:r>
        <w:rPr>
          <w:rFonts w:hint="eastAsia" w:ascii="Times New Roman" w:hAnsi="Times New Roman" w:eastAsia="黑体"/>
          <w:color w:val="auto"/>
          <w:kern w:val="2"/>
          <w:sz w:val="32"/>
          <w:szCs w:val="32"/>
        </w:rPr>
        <w:t>第八条</w:t>
      </w:r>
      <w:r>
        <w:rPr>
          <w:rFonts w:hint="eastAsia" w:ascii="Times New Roman" w:hAnsi="Times New Roman" w:eastAsia="仿宋_GB2312"/>
          <w:color w:val="auto"/>
          <w:kern w:val="2"/>
          <w:sz w:val="32"/>
          <w:szCs w:val="32"/>
        </w:rPr>
        <w:t xml:space="preserve">  </w:t>
      </w:r>
      <w:r>
        <w:rPr>
          <w:rFonts w:hint="eastAsia" w:eastAsia="仿宋_GB2312"/>
          <w:color w:val="auto"/>
          <w:sz w:val="32"/>
          <w:szCs w:val="32"/>
        </w:rPr>
        <w:t>本细则</w:t>
      </w:r>
      <w:r>
        <w:rPr>
          <w:rFonts w:eastAsia="仿宋_GB2312"/>
          <w:color w:val="auto"/>
          <w:sz w:val="32"/>
          <w:szCs w:val="32"/>
        </w:rPr>
        <w:t>由</w:t>
      </w:r>
      <w:r>
        <w:rPr>
          <w:rFonts w:hint="eastAsia" w:eastAsia="仿宋_GB2312"/>
          <w:color w:val="auto"/>
          <w:sz w:val="32"/>
          <w:szCs w:val="32"/>
        </w:rPr>
        <w:t>市倍增办</w:t>
      </w:r>
      <w:r>
        <w:rPr>
          <w:rFonts w:eastAsia="仿宋_GB2312"/>
          <w:color w:val="auto"/>
          <w:sz w:val="32"/>
          <w:szCs w:val="32"/>
        </w:rPr>
        <w:t>负责修订解释。</w:t>
      </w:r>
      <w:r>
        <w:rPr>
          <w:rFonts w:hint="eastAsia" w:eastAsia="仿宋_GB2312"/>
          <w:color w:val="auto"/>
          <w:sz w:val="32"/>
          <w:szCs w:val="32"/>
        </w:rPr>
        <w:t>自印发之日起实施，有效期至2027年12月31日，实施过程中可根据实施情况依法评估修订。</w:t>
      </w:r>
    </w:p>
    <w:sectPr>
      <w:headerReference r:id="rId3" w:type="default"/>
      <w:footerReference r:id="rId4" w:type="default"/>
      <w:footerReference r:id="rId5" w:type="even"/>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w:t>
    </w:r>
  </w:p>
  <w:p>
    <w:pPr>
      <w:pStyle w:val="4"/>
      <w:ind w:right="360" w:firstLine="360"/>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795079"/>
    <w:multiLevelType w:val="singleLevel"/>
    <w:tmpl w:val="94795079"/>
    <w:lvl w:ilvl="0" w:tentative="0">
      <w:start w:val="1"/>
      <w:numFmt w:val="decimal"/>
      <w:suff w:val="space"/>
      <w:lvlText w:val="%1."/>
      <w:lvlJc w:val="left"/>
    </w:lvl>
  </w:abstractNum>
  <w:abstractNum w:abstractNumId="1">
    <w:nsid w:val="A79DA8DA"/>
    <w:multiLevelType w:val="singleLevel"/>
    <w:tmpl w:val="A79DA8DA"/>
    <w:lvl w:ilvl="0" w:tentative="0">
      <w:start w:val="1"/>
      <w:numFmt w:val="chineseCounting"/>
      <w:suff w:val="nothing"/>
      <w:lvlText w:val="（%1）"/>
      <w:lvlJc w:val="left"/>
      <w:rPr>
        <w:rFonts w:hint="eastAsia"/>
      </w:rPr>
    </w:lvl>
  </w:abstractNum>
  <w:abstractNum w:abstractNumId="2">
    <w:nsid w:val="38E892BB"/>
    <w:multiLevelType w:val="singleLevel"/>
    <w:tmpl w:val="38E892BB"/>
    <w:lvl w:ilvl="0" w:tentative="0">
      <w:start w:val="1"/>
      <w:numFmt w:val="decimal"/>
      <w:suff w:val="space"/>
      <w:lvlText w:val="%1."/>
      <w:lvlJc w:val="left"/>
      <w:rPr>
        <w:rFonts w:hint="default"/>
        <w:b w:val="0"/>
        <w:bCs w:val="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227"/>
  <w:drawingGridVerticalSpacing w:val="6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YjdmMzBkNzg4YmQyODY5ZTkyMDMyMjdkMDk2NDkifQ=="/>
  </w:docVars>
  <w:rsids>
    <w:rsidRoot w:val="122A2EFE"/>
    <w:rsid w:val="00011E40"/>
    <w:rsid w:val="001513FA"/>
    <w:rsid w:val="00180442"/>
    <w:rsid w:val="001B41AF"/>
    <w:rsid w:val="00201AF2"/>
    <w:rsid w:val="002301D5"/>
    <w:rsid w:val="00255F84"/>
    <w:rsid w:val="002905BB"/>
    <w:rsid w:val="00294B1C"/>
    <w:rsid w:val="002A2849"/>
    <w:rsid w:val="002D763E"/>
    <w:rsid w:val="002E0D8D"/>
    <w:rsid w:val="00330C5A"/>
    <w:rsid w:val="00391114"/>
    <w:rsid w:val="00395936"/>
    <w:rsid w:val="003A489C"/>
    <w:rsid w:val="0040343A"/>
    <w:rsid w:val="004B3663"/>
    <w:rsid w:val="004D2E96"/>
    <w:rsid w:val="00530EF0"/>
    <w:rsid w:val="00580650"/>
    <w:rsid w:val="00581D4E"/>
    <w:rsid w:val="005A1F69"/>
    <w:rsid w:val="005B20B9"/>
    <w:rsid w:val="005E0D0F"/>
    <w:rsid w:val="005F565F"/>
    <w:rsid w:val="00604704"/>
    <w:rsid w:val="00617B8E"/>
    <w:rsid w:val="00631AE6"/>
    <w:rsid w:val="006647DF"/>
    <w:rsid w:val="006B2F84"/>
    <w:rsid w:val="006E45D8"/>
    <w:rsid w:val="006E74CA"/>
    <w:rsid w:val="00705AF5"/>
    <w:rsid w:val="0072089F"/>
    <w:rsid w:val="007611C9"/>
    <w:rsid w:val="0078084A"/>
    <w:rsid w:val="00781909"/>
    <w:rsid w:val="007B3734"/>
    <w:rsid w:val="007D0B49"/>
    <w:rsid w:val="00813E9E"/>
    <w:rsid w:val="00854A3C"/>
    <w:rsid w:val="00854DAB"/>
    <w:rsid w:val="008B6FF4"/>
    <w:rsid w:val="0091551D"/>
    <w:rsid w:val="009404FF"/>
    <w:rsid w:val="009515BF"/>
    <w:rsid w:val="00951E1C"/>
    <w:rsid w:val="00970A7F"/>
    <w:rsid w:val="00A21723"/>
    <w:rsid w:val="00A54A2F"/>
    <w:rsid w:val="00A82949"/>
    <w:rsid w:val="00A917EA"/>
    <w:rsid w:val="00AF0899"/>
    <w:rsid w:val="00AF3188"/>
    <w:rsid w:val="00B02331"/>
    <w:rsid w:val="00B3374C"/>
    <w:rsid w:val="00BB37A3"/>
    <w:rsid w:val="00BF6E43"/>
    <w:rsid w:val="00C66E40"/>
    <w:rsid w:val="00CA60B4"/>
    <w:rsid w:val="00CB478F"/>
    <w:rsid w:val="00D1166C"/>
    <w:rsid w:val="00D75390"/>
    <w:rsid w:val="00DA1E58"/>
    <w:rsid w:val="00DC312E"/>
    <w:rsid w:val="00DD2F8B"/>
    <w:rsid w:val="00DE3C0C"/>
    <w:rsid w:val="00E309EB"/>
    <w:rsid w:val="00E75003"/>
    <w:rsid w:val="00ED60D4"/>
    <w:rsid w:val="00EE6A71"/>
    <w:rsid w:val="00F56E40"/>
    <w:rsid w:val="00F776C8"/>
    <w:rsid w:val="00F83188"/>
    <w:rsid w:val="00FA5BD9"/>
    <w:rsid w:val="00FB32C1"/>
    <w:rsid w:val="00FC4620"/>
    <w:rsid w:val="02952D74"/>
    <w:rsid w:val="089F7EAE"/>
    <w:rsid w:val="0DD37D34"/>
    <w:rsid w:val="0E3E7A11"/>
    <w:rsid w:val="0FB955F6"/>
    <w:rsid w:val="122A2EFE"/>
    <w:rsid w:val="151F54BC"/>
    <w:rsid w:val="15E01953"/>
    <w:rsid w:val="191705DA"/>
    <w:rsid w:val="1EF36C05"/>
    <w:rsid w:val="1FFD401A"/>
    <w:rsid w:val="23474D1E"/>
    <w:rsid w:val="2D7F49C8"/>
    <w:rsid w:val="34521F90"/>
    <w:rsid w:val="34D54719"/>
    <w:rsid w:val="37B84DFB"/>
    <w:rsid w:val="38932105"/>
    <w:rsid w:val="41524DB6"/>
    <w:rsid w:val="439553FA"/>
    <w:rsid w:val="44477924"/>
    <w:rsid w:val="44DB0019"/>
    <w:rsid w:val="452E74E6"/>
    <w:rsid w:val="456C6281"/>
    <w:rsid w:val="45C960A0"/>
    <w:rsid w:val="4B5A1AD7"/>
    <w:rsid w:val="4F2E3CB3"/>
    <w:rsid w:val="4F4F787D"/>
    <w:rsid w:val="4FC67781"/>
    <w:rsid w:val="526A7B0C"/>
    <w:rsid w:val="52D54D10"/>
    <w:rsid w:val="538E7BD3"/>
    <w:rsid w:val="5D2D28BE"/>
    <w:rsid w:val="5E660465"/>
    <w:rsid w:val="5E934C4B"/>
    <w:rsid w:val="60C84AB3"/>
    <w:rsid w:val="670E435B"/>
    <w:rsid w:val="6FFA1776"/>
    <w:rsid w:val="7DE86A87"/>
    <w:rsid w:val="7E9B069C"/>
    <w:rsid w:val="7F977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napToGrid w:val="0"/>
      <w:spacing w:line="600" w:lineRule="atLeast"/>
      <w:ind w:firstLine="641"/>
    </w:pPr>
    <w:rPr>
      <w:rFonts w:ascii="Times New Roman" w:hAnsi="Times New Roman" w:eastAsia="仿宋_GB2312"/>
      <w:sz w:val="32"/>
    </w:rPr>
  </w:style>
  <w:style w:type="paragraph" w:styleId="3">
    <w:name w:val="Balloon Text"/>
    <w:basedOn w:val="1"/>
    <w:link w:val="11"/>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0"/>
    <w:pPr>
      <w:spacing w:beforeAutospacing="1" w:afterAutospacing="1"/>
      <w:jc w:val="left"/>
    </w:pPr>
    <w:rPr>
      <w:kern w:val="0"/>
      <w:sz w:val="24"/>
    </w:rPr>
  </w:style>
  <w:style w:type="paragraph" w:styleId="7">
    <w:name w:val="Title"/>
    <w:basedOn w:val="1"/>
    <w:next w:val="1"/>
    <w:link w:val="12"/>
    <w:qFormat/>
    <w:uiPriority w:val="10"/>
    <w:pPr>
      <w:widowControl/>
      <w:spacing w:line="600" w:lineRule="exact"/>
      <w:jc w:val="center"/>
      <w:outlineLvl w:val="0"/>
    </w:pPr>
    <w:rPr>
      <w:rFonts w:ascii="Times New Roman" w:hAnsi="Times New Roman" w:eastAsia="方正小标宋简体"/>
      <w:bCs/>
      <w:sz w:val="44"/>
      <w:szCs w:val="32"/>
    </w:rPr>
  </w:style>
  <w:style w:type="paragraph" w:customStyle="1" w:styleId="1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1">
    <w:name w:val="批注框文本 Char"/>
    <w:link w:val="3"/>
    <w:qFormat/>
    <w:uiPriority w:val="0"/>
    <w:rPr>
      <w:kern w:val="2"/>
      <w:sz w:val="18"/>
      <w:szCs w:val="18"/>
    </w:rPr>
  </w:style>
  <w:style w:type="character" w:customStyle="1" w:styleId="12">
    <w:name w:val="标题 Char"/>
    <w:link w:val="7"/>
    <w:qFormat/>
    <w:uiPriority w:val="10"/>
    <w:rPr>
      <w:rFonts w:ascii="Times New Roman" w:hAnsi="Times New Roman" w:eastAsia="方正小标宋简体"/>
      <w:bCs/>
      <w:kern w:val="2"/>
      <w:sz w:val="44"/>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LS</Company>
  <Pages>5</Pages>
  <Words>1790</Words>
  <Characters>1827</Characters>
  <Lines>13</Lines>
  <Paragraphs>3</Paragraphs>
  <TotalTime>7</TotalTime>
  <ScaleCrop>false</ScaleCrop>
  <LinksUpToDate>false</LinksUpToDate>
  <CharactersWithSpaces>1843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2023-09-19T02:01:00Z</dcterms:created>
  <dc:creator>Jenny (耶稣)</dc:creator>
  <cp:lastModifiedBy>thinker</cp:lastModifiedBy>
  <cp:lastPrinted>2021-12-07T08:29:00Z</cp:lastPrinted>
  <dcterms:modified xsi:type="dcterms:W3CDTF">2023-09-25T02:15:46Z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F904DFBB02F1414AA4B4518C6BA8A9EA_13</vt:lpwstr>
  </property>
</Properties>
</file>