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附件1：</w:t>
      </w:r>
    </w:p>
    <w:p>
      <w:pPr>
        <w:widowControl/>
        <w:spacing w:line="560" w:lineRule="exact"/>
        <w:ind w:firstLine="960" w:firstLineChars="3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年省级促进经济高质量发展专项资金</w:t>
      </w: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（民营经济及中小微企业发展）应收</w:t>
      </w:r>
    </w:p>
    <w:p>
      <w:pPr>
        <w:widowControl/>
        <w:spacing w:line="64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账款融资奖励项目入库工作指引</w:t>
      </w:r>
    </w:p>
    <w:p>
      <w:pPr>
        <w:spacing w:line="560" w:lineRule="exact"/>
        <w:ind w:firstLine="620"/>
        <w:rPr>
          <w:rFonts w:ascii="楷体_GB2312" w:hAnsi="楷体_GB2312" w:eastAsia="楷体_GB2312" w:cs="楷体_GB2312"/>
          <w:color w:val="000000"/>
          <w:sz w:val="32"/>
          <w:szCs w:val="32"/>
        </w:rPr>
      </w:pPr>
    </w:p>
    <w:p>
      <w:pPr>
        <w:spacing w:line="560" w:lineRule="exact"/>
        <w:ind w:firstLine="62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根据《广东省工业和信息化厅关于做好202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年省级促进经济高质量发展专项资金（民营经济及中小微企业发展）项目入库工作的通知》（粤工信融资函〔202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2号）</w:t>
      </w:r>
      <w:r>
        <w:rPr>
          <w:rFonts w:hint="eastAsia" w:eastAsia="仿宋_GB2312"/>
          <w:color w:val="000000"/>
          <w:sz w:val="32"/>
          <w:szCs w:val="32"/>
        </w:rPr>
        <w:t>，制定本工作指引。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一、入库对象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供应链核心企业。</w:t>
      </w:r>
    </w:p>
    <w:p>
      <w:pPr>
        <w:spacing w:line="560" w:lineRule="exact"/>
        <w:ind w:firstLine="640" w:firstLineChars="20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二、入库条件</w:t>
      </w:r>
    </w:p>
    <w:p>
      <w:pPr>
        <w:spacing w:line="560" w:lineRule="exact"/>
        <w:ind w:firstLine="61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（一）核心企业2022年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月1日至202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eastAsia="仿宋_GB2312"/>
          <w:color w:val="000000"/>
          <w:sz w:val="32"/>
          <w:szCs w:val="32"/>
        </w:rPr>
        <w:t>月3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z w:val="32"/>
          <w:szCs w:val="32"/>
        </w:rPr>
        <w:t>日期间通过人民银行征信中心应收账款融资服务平台在线确认，帮助广东省中小企业实现应收账款融资;</w:t>
      </w:r>
    </w:p>
    <w:p>
      <w:pPr>
        <w:spacing w:line="560" w:lineRule="exact"/>
        <w:ind w:firstLine="61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（二）核心企业在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东莞</w:t>
      </w:r>
      <w:r>
        <w:rPr>
          <w:rFonts w:eastAsia="仿宋_GB2312"/>
          <w:color w:val="000000"/>
          <w:sz w:val="32"/>
          <w:szCs w:val="32"/>
        </w:rPr>
        <w:t>市工商登记注册，具有独立法人资格，依法纳税，诚信合法经营，</w:t>
      </w:r>
      <w:r>
        <w:rPr>
          <w:rFonts w:hint="eastAsia" w:eastAsia="仿宋_GB2312"/>
          <w:color w:val="000000"/>
          <w:sz w:val="32"/>
          <w:szCs w:val="32"/>
        </w:rPr>
        <w:t>不存在</w:t>
      </w:r>
      <w:r>
        <w:rPr>
          <w:rFonts w:eastAsia="仿宋_GB2312"/>
          <w:color w:val="000000"/>
          <w:sz w:val="32"/>
          <w:szCs w:val="32"/>
        </w:rPr>
        <w:t>违法违纪违规等不良记录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1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（三）</w:t>
      </w:r>
      <w:r>
        <w:rPr>
          <w:rFonts w:hint="eastAsia" w:eastAsia="仿宋_GB2312"/>
          <w:color w:val="000000"/>
          <w:sz w:val="32"/>
          <w:szCs w:val="32"/>
        </w:rPr>
        <w:t>核心企业</w:t>
      </w:r>
      <w:r>
        <w:rPr>
          <w:rFonts w:eastAsia="仿宋_GB2312"/>
          <w:color w:val="000000"/>
          <w:sz w:val="32"/>
          <w:szCs w:val="32"/>
        </w:rPr>
        <w:t>近年来</w:t>
      </w:r>
      <w:r>
        <w:rPr>
          <w:rFonts w:hint="eastAsia" w:eastAsia="仿宋_GB2312"/>
          <w:color w:val="000000"/>
          <w:sz w:val="32"/>
          <w:szCs w:val="32"/>
        </w:rPr>
        <w:t>不</w:t>
      </w:r>
      <w:r>
        <w:rPr>
          <w:rFonts w:eastAsia="仿宋_GB2312"/>
          <w:color w:val="000000"/>
          <w:sz w:val="32"/>
          <w:szCs w:val="32"/>
        </w:rPr>
        <w:t>存在项目验收不合格、绩效评价差、会计信息不实的项目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15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三、奖励标准</w:t>
      </w:r>
    </w:p>
    <w:p>
      <w:pPr>
        <w:pStyle w:val="2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按帮助广东省中小企业实现应收账款融资年化金额不超过1%的额度给予奖励。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年化融资额=∑（每笔融资金额*实际融资天数/365天）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如审核时贷款合同未结束，则会采用一次立项，分期拨付方式进行资助。</w:t>
      </w:r>
    </w:p>
    <w:p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四、入库申报材料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（一）资金申请表；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（二）核心企业营业执照、法定代表人身份证复印件、202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年度财务审计报告；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（三）受帮扶中小企业佐证材料：①202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年度财务审计报告；②202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年度缴税申报表（报告）；③202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年度资产负债表以及利润表。</w:t>
      </w:r>
      <w:r>
        <w:rPr>
          <w:rFonts w:hint="eastAsia" w:eastAsia="仿宋_GB2312"/>
          <w:b/>
          <w:bCs/>
          <w:color w:val="000000"/>
          <w:sz w:val="32"/>
          <w:szCs w:val="32"/>
        </w:rPr>
        <w:t>以上三种佐证材料仅需选择其中一种提供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其他工作要求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（一）项目单位不得以同一项目重复申报或多头申报专项资金;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二）项目单位要切实加强对专项资金使用的管理，严格执行财务规章制度和会计核算办法，自觉接受财政、审计、监察部门的监督检查。奖励资金不得用于国家、省级相关财政资金管理办法明文规定的不得支出范围。</w:t>
      </w:r>
    </w:p>
    <w:p>
      <w:pPr>
        <w:pStyle w:val="2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 xml:space="preserve">    </w:t>
      </w:r>
    </w:p>
    <w:p>
      <w:pPr>
        <w:pStyle w:val="2"/>
        <w:spacing w:line="560" w:lineRule="exact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pStyle w:val="2"/>
        <w:rPr>
          <w:color w:val="000000"/>
        </w:rPr>
      </w:pPr>
    </w:p>
    <w:p>
      <w:pPr>
        <w:pStyle w:val="5"/>
        <w:spacing w:line="640" w:lineRule="exact"/>
        <w:rPr>
          <w:rFonts w:hint="default" w:eastAsia="方正小标宋简体"/>
          <w:color w:val="000000"/>
          <w:spacing w:val="-10"/>
          <w:sz w:val="44"/>
          <w:szCs w:val="44"/>
        </w:rPr>
      </w:pPr>
    </w:p>
    <w:p>
      <w:pPr>
        <w:snapToGrid w:val="0"/>
        <w:spacing w:line="4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modern"/>
    <w:pitch w:val="default"/>
    <w:sig w:usb0="00000001" w:usb1="00000000" w:usb2="00000000" w:usb3="00000000" w:csb0="00000001" w:csb1="00000000"/>
  </w:font>
  <w:font w:name="仿宋_GB2312-WinCharSetFFFF-H">
    <w:altName w:val="方正大标宋简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6B142"/>
    <w:multiLevelType w:val="singleLevel"/>
    <w:tmpl w:val="FB76B14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9F27F5"/>
    <w:rsid w:val="7FCFB2D9"/>
    <w:rsid w:val="DB9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customStyle="1" w:styleId="5">
    <w:name w:val="Normal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2023-05-22T22:55:00Z</dcterms:created>
  <dc:creator>uos</dc:creator>
  <cp:lastModifiedBy>uos</cp:lastModifiedBy>
  <dcterms:modified xsi:type="dcterms:W3CDTF">2023-05-22T15:00:46Z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