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rPr>
          <w:rFonts w:hint="eastAsia"/>
        </w:rPr>
        <w:t>附件2:</w:t>
      </w:r>
    </w:p>
    <w:p>
      <w:pPr>
        <w:ind w:firstLine="630"/>
        <w:rPr>
          <w:rFonts w:hint="eastAsia"/>
        </w:rPr>
      </w:pPr>
    </w:p>
    <w:p>
      <w:pPr>
        <w:pStyle w:val="15"/>
      </w:pPr>
      <w:r>
        <w:rPr>
          <w:rFonts w:hint="eastAsia"/>
        </w:rPr>
        <w:t>东莞市智能车</w:t>
      </w:r>
      <w:r>
        <w:t>间</w:t>
      </w:r>
      <w:r>
        <w:rPr>
          <w:rFonts w:hint="eastAsia"/>
        </w:rPr>
        <w:t>项目遴选管理办法</w:t>
      </w:r>
    </w:p>
    <w:p>
      <w:pPr>
        <w:ind w:firstLine="0" w:firstLineChars="0"/>
        <w:jc w:val="center"/>
        <w:rPr>
          <w:rFonts w:ascii="楷体" w:hAnsi="楷体" w:eastAsia="楷体"/>
        </w:rPr>
      </w:pPr>
      <w:r>
        <w:rPr>
          <w:rFonts w:hint="eastAsia" w:ascii="楷体" w:hAnsi="楷体" w:eastAsia="楷体"/>
        </w:rPr>
        <w:t>（征求</w:t>
      </w:r>
      <w:r>
        <w:rPr>
          <w:rFonts w:ascii="楷体" w:hAnsi="楷体" w:eastAsia="楷体"/>
        </w:rPr>
        <w:t>意见稿）</w:t>
      </w:r>
    </w:p>
    <w:p>
      <w:pPr>
        <w:ind w:firstLine="630"/>
      </w:pPr>
    </w:p>
    <w:p>
      <w:pPr>
        <w:spacing w:line="600" w:lineRule="exact"/>
        <w:ind w:firstLine="0" w:firstLineChars="0"/>
        <w:jc w:val="center"/>
        <w:rPr>
          <w:rFonts w:eastAsia="黑体"/>
          <w:szCs w:val="32"/>
        </w:rPr>
      </w:pPr>
      <w:r>
        <w:rPr>
          <w:rFonts w:hint="eastAsia" w:eastAsia="黑体"/>
          <w:szCs w:val="32"/>
        </w:rPr>
        <w:t>第</w:t>
      </w:r>
      <w:r>
        <w:rPr>
          <w:rFonts w:eastAsia="黑体"/>
          <w:szCs w:val="32"/>
        </w:rPr>
        <w:t>一章</w:t>
      </w:r>
      <w:r>
        <w:rPr>
          <w:rFonts w:hint="eastAsia" w:eastAsia="黑体"/>
          <w:szCs w:val="32"/>
        </w:rPr>
        <w:t xml:space="preserve"> </w:t>
      </w:r>
      <w:r>
        <w:rPr>
          <w:rFonts w:eastAsia="黑体"/>
          <w:szCs w:val="32"/>
        </w:rPr>
        <w:t>总 则</w:t>
      </w:r>
    </w:p>
    <w:p>
      <w:pPr>
        <w:spacing w:line="600" w:lineRule="exact"/>
        <w:ind w:firstLine="630"/>
        <w:rPr>
          <w:rFonts w:eastAsia="黑体"/>
          <w:szCs w:val="32"/>
        </w:rPr>
      </w:pPr>
    </w:p>
    <w:p>
      <w:pPr>
        <w:spacing w:line="600" w:lineRule="exact"/>
        <w:ind w:firstLine="630"/>
        <w:rPr>
          <w:bCs/>
          <w:szCs w:val="32"/>
        </w:rPr>
      </w:pPr>
      <w:r>
        <w:rPr>
          <w:rFonts w:hint="eastAsia" w:ascii="黑体" w:hAnsi="黑体" w:eastAsia="黑体" w:cs="黑体"/>
          <w:szCs w:val="32"/>
        </w:rPr>
        <w:t>第一条</w:t>
      </w:r>
      <w:r>
        <w:rPr>
          <w:b/>
          <w:bCs/>
          <w:szCs w:val="32"/>
        </w:rPr>
        <w:t xml:space="preserve">  </w:t>
      </w:r>
      <w:r>
        <w:rPr>
          <w:kern w:val="0"/>
          <w:szCs w:val="32"/>
        </w:rPr>
        <w:t>根据《广东省人民政府关于印发广东省制造业数字化转型实施方案及若干政策措施的通知》（粤府〔2021〕45号）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府〔2022〕1号）等文件精神</w:t>
      </w:r>
      <w:r>
        <w:rPr>
          <w:bCs/>
          <w:szCs w:val="32"/>
        </w:rPr>
        <w:t>，结合我市实际，</w:t>
      </w:r>
      <w:r>
        <w:rPr>
          <w:kern w:val="0"/>
          <w:szCs w:val="32"/>
        </w:rPr>
        <w:t>遴选一批</w:t>
      </w:r>
      <w:r>
        <w:rPr>
          <w:rFonts w:hint="eastAsia"/>
          <w:kern w:val="0"/>
          <w:szCs w:val="32"/>
        </w:rPr>
        <w:t>智能车</w:t>
      </w:r>
      <w:r>
        <w:rPr>
          <w:kern w:val="0"/>
          <w:szCs w:val="32"/>
        </w:rPr>
        <w:t>间</w:t>
      </w:r>
      <w:r>
        <w:rPr>
          <w:rFonts w:hint="eastAsia"/>
          <w:kern w:val="0"/>
          <w:szCs w:val="32"/>
        </w:rPr>
        <w:t>项目</w:t>
      </w:r>
      <w:r>
        <w:rPr>
          <w:kern w:val="0"/>
          <w:szCs w:val="32"/>
        </w:rPr>
        <w:t>，</w:t>
      </w:r>
      <w:r>
        <w:rPr>
          <w:rFonts w:hint="eastAsia"/>
          <w:kern w:val="0"/>
          <w:szCs w:val="32"/>
        </w:rPr>
        <w:t>加</w:t>
      </w:r>
      <w:r>
        <w:rPr>
          <w:kern w:val="0"/>
          <w:szCs w:val="32"/>
        </w:rPr>
        <w:t>快</w:t>
      </w:r>
      <w:r>
        <w:rPr>
          <w:rFonts w:hint="eastAsia"/>
          <w:kern w:val="0"/>
          <w:szCs w:val="32"/>
        </w:rPr>
        <w:t>推动</w:t>
      </w:r>
      <w:r>
        <w:rPr>
          <w:kern w:val="0"/>
          <w:szCs w:val="32"/>
        </w:rPr>
        <w:t>制造业</w:t>
      </w:r>
      <w:r>
        <w:rPr>
          <w:rFonts w:hint="eastAsia"/>
          <w:kern w:val="0"/>
          <w:szCs w:val="32"/>
        </w:rPr>
        <w:t>自动</w:t>
      </w:r>
      <w:r>
        <w:rPr>
          <w:kern w:val="0"/>
          <w:szCs w:val="32"/>
        </w:rPr>
        <w:t>化、数字化</w:t>
      </w:r>
      <w:r>
        <w:rPr>
          <w:rFonts w:hint="eastAsia"/>
          <w:kern w:val="0"/>
          <w:szCs w:val="32"/>
        </w:rPr>
        <w:t>、</w:t>
      </w:r>
      <w:r>
        <w:rPr>
          <w:kern w:val="0"/>
          <w:szCs w:val="32"/>
        </w:rPr>
        <w:t>智能</w:t>
      </w:r>
      <w:r>
        <w:rPr>
          <w:rFonts w:hint="eastAsia"/>
          <w:kern w:val="0"/>
          <w:szCs w:val="32"/>
        </w:rPr>
        <w:t>化</w:t>
      </w:r>
      <w:r>
        <w:rPr>
          <w:kern w:val="0"/>
          <w:szCs w:val="32"/>
        </w:rPr>
        <w:t>发展</w:t>
      </w:r>
      <w:r>
        <w:rPr>
          <w:bCs/>
          <w:szCs w:val="32"/>
        </w:rPr>
        <w:t>，特制定本办法。</w:t>
      </w:r>
    </w:p>
    <w:p>
      <w:pPr>
        <w:spacing w:line="600" w:lineRule="exact"/>
        <w:ind w:firstLine="630"/>
        <w:rPr>
          <w:b/>
          <w:bCs/>
          <w:szCs w:val="32"/>
        </w:rPr>
      </w:pPr>
      <w:r>
        <w:rPr>
          <w:rFonts w:hint="eastAsia" w:ascii="黑体" w:hAnsi="黑体" w:eastAsia="黑体" w:cs="黑体"/>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）遴选的东莞市</w:t>
      </w:r>
      <w:r>
        <w:rPr>
          <w:rFonts w:hint="eastAsia"/>
          <w:bCs/>
          <w:szCs w:val="32"/>
        </w:rPr>
        <w:t>智能车</w:t>
      </w:r>
      <w:r>
        <w:rPr>
          <w:bCs/>
          <w:szCs w:val="32"/>
        </w:rPr>
        <w:t>间</w:t>
      </w:r>
      <w:r>
        <w:rPr>
          <w:rFonts w:hint="eastAsia"/>
          <w:bCs/>
          <w:szCs w:val="32"/>
        </w:rPr>
        <w:t>项目。</w:t>
      </w:r>
    </w:p>
    <w:p>
      <w:pPr>
        <w:ind w:firstLine="630"/>
        <w:rPr>
          <w:szCs w:val="32"/>
        </w:rPr>
      </w:pPr>
      <w:r>
        <w:rPr>
          <w:rFonts w:ascii="黑体" w:hAnsi="黑体" w:eastAsia="黑体" w:cs="黑体"/>
          <w:szCs w:val="32"/>
        </w:rPr>
        <w:t>第</w:t>
      </w:r>
      <w:r>
        <w:rPr>
          <w:rFonts w:hint="eastAsia" w:ascii="黑体" w:hAnsi="黑体" w:eastAsia="黑体" w:cs="黑体"/>
          <w:szCs w:val="32"/>
        </w:rPr>
        <w:t>三</w:t>
      </w:r>
      <w:r>
        <w:rPr>
          <w:rFonts w:ascii="黑体" w:hAnsi="黑体" w:eastAsia="黑体" w:cs="黑体"/>
          <w:szCs w:val="32"/>
        </w:rPr>
        <w:t>条</w:t>
      </w:r>
      <w:r>
        <w:rPr>
          <w:b/>
          <w:bCs/>
          <w:szCs w:val="32"/>
        </w:rPr>
        <w:t xml:space="preserve">  </w:t>
      </w:r>
      <w:r>
        <w:rPr>
          <w:rFonts w:hint="eastAsia"/>
          <w:szCs w:val="32"/>
        </w:rPr>
        <w:t>智能车</w:t>
      </w:r>
      <w:r>
        <w:rPr>
          <w:szCs w:val="32"/>
        </w:rPr>
        <w:t>间</w:t>
      </w:r>
      <w:r>
        <w:rPr>
          <w:rFonts w:hint="eastAsia"/>
          <w:szCs w:val="32"/>
        </w:rPr>
        <w:t>项目</w:t>
      </w:r>
      <w:r>
        <w:rPr>
          <w:szCs w:val="32"/>
        </w:rPr>
        <w:t>的遴选遵循企业自愿、择优确定和公开、公平、公正原则。</w:t>
      </w:r>
      <w:r>
        <w:rPr>
          <w:rFonts w:hint="eastAsia"/>
          <w:szCs w:val="32"/>
        </w:rPr>
        <w:t>智能车</w:t>
      </w:r>
      <w:r>
        <w:rPr>
          <w:szCs w:val="32"/>
        </w:rPr>
        <w:t>间</w:t>
      </w:r>
      <w:r>
        <w:rPr>
          <w:rFonts w:hint="eastAsia"/>
          <w:szCs w:val="32"/>
        </w:rPr>
        <w:t>项目</w:t>
      </w:r>
      <w:r>
        <w:rPr>
          <w:szCs w:val="32"/>
        </w:rPr>
        <w:t>遴选</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智能车</w:t>
      </w:r>
      <w:r>
        <w:rPr>
          <w:szCs w:val="32"/>
        </w:rPr>
        <w:t>间项目</w:t>
      </w:r>
      <w:r>
        <w:rPr>
          <w:rFonts w:hint="eastAsia"/>
          <w:szCs w:val="32"/>
        </w:rPr>
        <w:t>的申报</w:t>
      </w:r>
      <w:r>
        <w:rPr>
          <w:rFonts w:hint="eastAsia" w:ascii="仿宋_GB2312" w:hAnsi="仿宋_GB2312" w:cs="仿宋_GB2312"/>
          <w:szCs w:val="32"/>
        </w:rPr>
        <w:t>、指导和相关管理服务工作</w:t>
      </w:r>
      <w:r>
        <w:rPr>
          <w:szCs w:val="32"/>
        </w:rPr>
        <w:t>。</w:t>
      </w:r>
    </w:p>
    <w:p>
      <w:pPr>
        <w:ind w:firstLine="630"/>
        <w:rPr>
          <w:szCs w:val="32"/>
        </w:rPr>
      </w:pPr>
    </w:p>
    <w:p>
      <w:pPr>
        <w:ind w:firstLine="630"/>
        <w:rPr>
          <w:szCs w:val="32"/>
        </w:rPr>
      </w:pPr>
    </w:p>
    <w:p>
      <w:pPr>
        <w:spacing w:line="600" w:lineRule="exact"/>
        <w:ind w:firstLine="0" w:firstLineChars="0"/>
        <w:jc w:val="center"/>
        <w:rPr>
          <w:rFonts w:eastAsia="黑体"/>
          <w:szCs w:val="32"/>
        </w:rPr>
      </w:pPr>
      <w:r>
        <w:rPr>
          <w:rFonts w:hint="eastAsia" w:eastAsia="黑体"/>
          <w:szCs w:val="32"/>
        </w:rPr>
        <w:t>第</w:t>
      </w:r>
      <w:r>
        <w:rPr>
          <w:rFonts w:eastAsia="黑体"/>
          <w:szCs w:val="32"/>
        </w:rPr>
        <w:t>二章</w:t>
      </w:r>
      <w:r>
        <w:rPr>
          <w:rFonts w:hint="eastAsia" w:eastAsia="黑体"/>
          <w:szCs w:val="32"/>
        </w:rPr>
        <w:t xml:space="preserve"> 遴选</w:t>
      </w:r>
      <w:r>
        <w:rPr>
          <w:rFonts w:eastAsia="黑体"/>
          <w:szCs w:val="32"/>
        </w:rPr>
        <w:t>条件</w:t>
      </w:r>
    </w:p>
    <w:p>
      <w:pPr>
        <w:spacing w:line="600" w:lineRule="exact"/>
        <w:ind w:firstLine="630"/>
        <w:rPr>
          <w:rFonts w:eastAsia="黑体"/>
          <w:szCs w:val="32"/>
        </w:rPr>
      </w:pPr>
    </w:p>
    <w:p>
      <w:pPr>
        <w:spacing w:line="600" w:lineRule="exact"/>
        <w:ind w:firstLine="630"/>
        <w:rPr>
          <w:szCs w:val="32"/>
        </w:rPr>
      </w:pPr>
      <w:r>
        <w:rPr>
          <w:rFonts w:ascii="黑体" w:hAnsi="黑体" w:eastAsia="黑体" w:cs="黑体"/>
          <w:szCs w:val="32"/>
        </w:rPr>
        <w:t>第</w:t>
      </w:r>
      <w:r>
        <w:rPr>
          <w:rFonts w:hint="eastAsia" w:ascii="黑体" w:hAnsi="黑体" w:eastAsia="黑体" w:cs="黑体"/>
          <w:szCs w:val="32"/>
          <w:lang w:eastAsia="zh-CN"/>
        </w:rPr>
        <w:t>四</w:t>
      </w:r>
      <w:r>
        <w:rPr>
          <w:rFonts w:ascii="黑体" w:hAnsi="黑体" w:eastAsia="黑体" w:cs="黑体"/>
          <w:szCs w:val="32"/>
        </w:rPr>
        <w:t>条</w:t>
      </w:r>
      <w:r>
        <w:rPr>
          <w:b/>
          <w:bCs/>
          <w:szCs w:val="32"/>
        </w:rPr>
        <w:t xml:space="preserve">  </w:t>
      </w:r>
      <w:r>
        <w:rPr>
          <w:szCs w:val="32"/>
        </w:rPr>
        <w:t>企业申请</w:t>
      </w:r>
      <w:r>
        <w:rPr>
          <w:rFonts w:hint="eastAsia"/>
          <w:szCs w:val="32"/>
        </w:rPr>
        <w:t>智能车</w:t>
      </w:r>
      <w:r>
        <w:rPr>
          <w:szCs w:val="32"/>
        </w:rPr>
        <w:t>间</w:t>
      </w:r>
      <w:r>
        <w:rPr>
          <w:rFonts w:hint="eastAsia"/>
          <w:szCs w:val="32"/>
        </w:rPr>
        <w:t>项目</w:t>
      </w:r>
      <w:r>
        <w:rPr>
          <w:szCs w:val="32"/>
        </w:rPr>
        <w:t>应具备以下基本条件：</w:t>
      </w:r>
    </w:p>
    <w:p>
      <w:pPr>
        <w:spacing w:line="600" w:lineRule="exact"/>
        <w:ind w:firstLine="630"/>
        <w:rPr>
          <w:szCs w:val="32"/>
        </w:rPr>
      </w:pPr>
      <w:r>
        <w:rPr>
          <w:rFonts w:hint="eastAsia" w:ascii="楷体_GB2312" w:hAnsi="楷体_GB2312" w:eastAsia="楷体_GB2312" w:cs="楷体_GB2312"/>
          <w:szCs w:val="32"/>
        </w:rPr>
        <w:t>（一）</w:t>
      </w:r>
      <w:r>
        <w:rPr>
          <w:szCs w:val="32"/>
        </w:rPr>
        <w:t>在我市行政区域内注册，具有独立法人资格</w:t>
      </w:r>
      <w:r>
        <w:rPr>
          <w:rFonts w:hint="eastAsia" w:ascii="仿宋_GB2312" w:hAnsi="仿宋_GB2312" w:cs="仿宋_GB2312"/>
          <w:szCs w:val="32"/>
        </w:rPr>
        <w:t>且正常经营一年以上，</w:t>
      </w:r>
      <w:r>
        <w:rPr>
          <w:szCs w:val="32"/>
        </w:rPr>
        <w:t>遵守国家法律法规，认真履行社会责任，财务管理制度健全规范；</w:t>
      </w:r>
    </w:p>
    <w:p>
      <w:pPr>
        <w:spacing w:line="600" w:lineRule="exact"/>
        <w:ind w:firstLine="63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pPr>
        <w:ind w:firstLine="630"/>
        <w:rPr>
          <w:rFonts w:ascii="仿宋_GB2312" w:hAnsi="仿宋_GB2312" w:cs="仿宋_GB2312"/>
          <w:szCs w:val="32"/>
        </w:rPr>
      </w:pPr>
      <w:r>
        <w:rPr>
          <w:rFonts w:hint="eastAsia" w:ascii="仿宋_GB2312" w:hAnsi="仿宋_GB2312" w:cs="仿宋_GB2312"/>
          <w:szCs w:val="32"/>
        </w:rPr>
        <w:t>（三）企业主导产品（技术）符合国家产业政策和行业政策导向。</w:t>
      </w:r>
    </w:p>
    <w:p>
      <w:pPr>
        <w:spacing w:line="600" w:lineRule="exact"/>
        <w:ind w:firstLine="630"/>
        <w:rPr>
          <w:szCs w:val="32"/>
        </w:rPr>
      </w:pPr>
      <w:r>
        <w:rPr>
          <w:rFonts w:hint="eastAsia" w:ascii="黑体" w:hAnsi="黑体" w:eastAsia="黑体" w:cs="黑体"/>
          <w:szCs w:val="32"/>
        </w:rPr>
        <w:t>第</w:t>
      </w:r>
      <w:r>
        <w:rPr>
          <w:rFonts w:hint="eastAsia" w:ascii="黑体" w:hAnsi="黑体" w:eastAsia="黑体" w:cs="黑体"/>
          <w:szCs w:val="32"/>
          <w:lang w:eastAsia="zh-CN"/>
        </w:rPr>
        <w:t>五</w:t>
      </w:r>
      <w:r>
        <w:rPr>
          <w:rFonts w:ascii="黑体" w:hAnsi="黑体" w:eastAsia="黑体" w:cs="黑体"/>
          <w:szCs w:val="32"/>
        </w:rPr>
        <w:t>条</w:t>
      </w:r>
      <w:r>
        <w:rPr>
          <w:rFonts w:hint="eastAsia" w:ascii="仿宋_GB2312" w:hAnsi="仿宋_GB2312" w:cs="仿宋_GB2312"/>
          <w:szCs w:val="32"/>
        </w:rPr>
        <w:t xml:space="preserve">  </w:t>
      </w:r>
      <w:r>
        <w:rPr>
          <w:szCs w:val="32"/>
        </w:rPr>
        <w:t>企业申请</w:t>
      </w:r>
      <w:r>
        <w:rPr>
          <w:rFonts w:hint="eastAsia"/>
          <w:szCs w:val="32"/>
        </w:rPr>
        <w:t>智能</w:t>
      </w:r>
      <w:r>
        <w:rPr>
          <w:szCs w:val="32"/>
        </w:rPr>
        <w:t>工厂</w:t>
      </w:r>
      <w:r>
        <w:rPr>
          <w:rFonts w:hint="eastAsia"/>
          <w:szCs w:val="32"/>
        </w:rPr>
        <w:t>除符合</w:t>
      </w:r>
      <w:r>
        <w:rPr>
          <w:szCs w:val="32"/>
        </w:rPr>
        <w:t>上述基本条件外，应需</w:t>
      </w:r>
      <w:r>
        <w:rPr>
          <w:rFonts w:hint="eastAsia"/>
          <w:szCs w:val="32"/>
        </w:rPr>
        <w:t>满足</w:t>
      </w:r>
      <w:r>
        <w:rPr>
          <w:szCs w:val="32"/>
        </w:rPr>
        <w:t>以下</w:t>
      </w:r>
      <w:r>
        <w:rPr>
          <w:rFonts w:hint="eastAsia"/>
          <w:szCs w:val="32"/>
        </w:rPr>
        <w:t>两</w:t>
      </w:r>
      <w:r>
        <w:rPr>
          <w:szCs w:val="32"/>
        </w:rPr>
        <w:t>个或以上</w:t>
      </w:r>
      <w:r>
        <w:rPr>
          <w:rFonts w:hint="eastAsia"/>
          <w:szCs w:val="32"/>
        </w:rPr>
        <w:t>条件</w:t>
      </w:r>
      <w:r>
        <w:rPr>
          <w:szCs w:val="32"/>
        </w:rPr>
        <w:t>：</w:t>
      </w:r>
    </w:p>
    <w:p>
      <w:pPr>
        <w:ind w:firstLine="630"/>
        <w:rPr>
          <w:rFonts w:ascii="仿宋_GB2312" w:hAnsi="仿宋_GB2312" w:cs="仿宋_GB2312"/>
          <w:szCs w:val="32"/>
        </w:rPr>
      </w:pPr>
      <w:r>
        <w:rPr>
          <w:rFonts w:hint="eastAsia" w:ascii="仿宋_GB2312" w:hAnsi="仿宋_GB2312" w:cs="仿宋_GB2312"/>
          <w:szCs w:val="32"/>
        </w:rPr>
        <w:t>1、智能设备联网。车间应广泛采用先进工艺及智能设备。智能设备应全面实现联网和数据采集，关键重要设备实现远程控制和运维。</w:t>
      </w:r>
    </w:p>
    <w:p>
      <w:pPr>
        <w:ind w:firstLine="630"/>
        <w:rPr>
          <w:rFonts w:ascii="仿宋_GB2312" w:hAnsi="仿宋_GB2312" w:cs="仿宋_GB2312"/>
          <w:szCs w:val="32"/>
        </w:rPr>
      </w:pPr>
      <w:r>
        <w:rPr>
          <w:rFonts w:hint="eastAsia" w:ascii="仿宋_GB2312" w:hAnsi="仿宋_GB2312" w:cs="仿宋_GB2312"/>
          <w:szCs w:val="32"/>
        </w:rPr>
        <w:t>2、智能仓储和精准配送。车间应建立仓储模型和配送模型，实现最小库存和高效配送。通过生产线实际生产计划实时拉动物料的精准配送，实现仓储和配送的可视化管理。必要时，应用立体仓库、AGV等实现关键件的仓储和配送。</w:t>
      </w:r>
    </w:p>
    <w:p>
      <w:pPr>
        <w:ind w:firstLine="630"/>
        <w:rPr>
          <w:rFonts w:ascii="仿宋_GB2312" w:hAnsi="仿宋_GB2312" w:cs="仿宋_GB2312"/>
          <w:szCs w:val="32"/>
        </w:rPr>
      </w:pPr>
      <w:r>
        <w:rPr>
          <w:rFonts w:hint="eastAsia" w:ascii="仿宋_GB2312" w:hAnsi="仿宋_GB2312" w:cs="仿宋_GB2312"/>
          <w:szCs w:val="32"/>
        </w:rPr>
        <w:t>3、车间作业实时调度。实时监控车间生产过程信息，实现任务订单、物料与在制品、设备、人员等车间生产资源的自动监测。依据生产计划、工艺、资源状态、约束条件等自动生成车间作业计划，调度和动态优化车间作业，实现异常事件快速响应、自动恢复的动态优化调度能力。</w:t>
      </w:r>
    </w:p>
    <w:p>
      <w:pPr>
        <w:ind w:firstLine="630"/>
        <w:rPr>
          <w:rFonts w:ascii="仿宋_GB2312" w:hAnsi="仿宋_GB2312" w:cs="仿宋_GB2312"/>
          <w:szCs w:val="32"/>
        </w:rPr>
      </w:pPr>
      <w:r>
        <w:rPr>
          <w:rFonts w:hint="eastAsia" w:ascii="仿宋_GB2312" w:hAnsi="仿宋_GB2312" w:cs="仿宋_GB2312"/>
          <w:szCs w:val="32"/>
        </w:rPr>
        <w:t>4、产品信息跟踪追溯。生产过程广泛采用条形码、二维码电子标签等识别技术，实现对物料、半成品、成品流动的追踪与追溯。在关键工序采用智能化质量检测设备，产品质量实现在线自动检测、报警和诊断分析，每批次产品均可通过产品档案实现使用物料信息、生产作业信息和质量信息的追溯。必要时，对需要远程运维的产品，运用物联网、云计算、大数据、人工智能等技术实现产品远程监测与控制、自动分析与故障处理，实现产品运维信息可追溯。</w:t>
      </w:r>
    </w:p>
    <w:p>
      <w:pPr>
        <w:ind w:firstLine="630"/>
        <w:rPr>
          <w:rFonts w:ascii="仿宋_GB2312" w:hAnsi="仿宋_GB2312" w:cs="仿宋_GB2312"/>
          <w:szCs w:val="32"/>
        </w:rPr>
      </w:pPr>
      <w:r>
        <w:rPr>
          <w:rFonts w:hint="eastAsia" w:ascii="仿宋_GB2312" w:hAnsi="仿宋_GB2312" w:cs="仿宋_GB2312"/>
          <w:szCs w:val="32"/>
        </w:rPr>
        <w:t>5、能源消耗智能管控。根据车间需求建立水、电、气等重点能源消耗的动态监控和计量，对高能耗设备能耗数据开展统计与分析，制定合理的能耗评价指标。对于高能耗车间，应建立产耗预测模型，实现能源的优化调度和平衡预测，有效指导生产作业。</w:t>
      </w:r>
    </w:p>
    <w:p>
      <w:pPr>
        <w:ind w:firstLine="630"/>
        <w:rPr>
          <w:rFonts w:ascii="仿宋_GB2312" w:hAnsi="仿宋_GB2312" w:cs="仿宋_GB2312"/>
          <w:szCs w:val="32"/>
        </w:rPr>
      </w:pPr>
      <w:r>
        <w:rPr>
          <w:rFonts w:hint="eastAsia" w:ascii="仿宋_GB2312" w:hAnsi="仿宋_GB2312" w:cs="仿宋_GB2312"/>
          <w:szCs w:val="32"/>
        </w:rPr>
        <w:t>6、车间环境智能管控。根据车间生产制造特点和需求，配备相应的车间环境（热感、烟感、温度、湿度、有害气体、粉尘等）智能监测、调节、处理系统，实现对车间工业卫生、环境自动监控、自动检测、自动报警等智能化控制。车间废弃物处置纳入信息系统统一管理，处置过程符合环境保护的规定和要求。</w:t>
      </w:r>
    </w:p>
    <w:p>
      <w:pPr>
        <w:ind w:firstLine="630"/>
        <w:rPr>
          <w:rFonts w:ascii="仿宋_GB2312" w:hAnsi="仿宋_GB2312" w:cs="仿宋_GB2312"/>
          <w:szCs w:val="32"/>
        </w:rPr>
      </w:pPr>
      <w:r>
        <w:rPr>
          <w:rFonts w:hint="eastAsia" w:ascii="仿宋_GB2312" w:hAnsi="仿宋_GB2312" w:cs="仿宋_GB2312"/>
          <w:szCs w:val="32"/>
        </w:rPr>
        <w:t>7、安全生产水平提升。车间应采用先进的安全生产工艺、装备和防护装置，降低安全风险，消除事故隐患。推动互联网、大数据、物联网、人工智能等技术在安全生产领域广泛应用，用智能化、信息化手段提升企业本质安全水平及工控安全能力。在安全作业方面应加强车间危险源的监测预警、事故应急等安全管理。在工控安全方面应积极推动工业控制系统信息安全防护工作，切实做好系统防护和管理安全。</w:t>
      </w:r>
    </w:p>
    <w:p>
      <w:pPr>
        <w:ind w:firstLine="630"/>
        <w:rPr>
          <w:rFonts w:ascii="仿宋_GB2312" w:hAnsi="仿宋_GB2312" w:cs="仿宋_GB2312"/>
          <w:szCs w:val="32"/>
        </w:rPr>
      </w:pPr>
      <w:r>
        <w:rPr>
          <w:rFonts w:hint="eastAsia" w:ascii="仿宋_GB2312" w:hAnsi="仿宋_GB2312" w:cs="仿宋_GB2312"/>
          <w:szCs w:val="32"/>
        </w:rPr>
        <w:t>8、经济效益明显提升。车间实施智能化改造升级后，劳动强度大幅降低，工作环境明显改善，生产效率明显提升；不良品率显著降低，产品质量明显提升。</w:t>
      </w:r>
    </w:p>
    <w:p>
      <w:pPr>
        <w:ind w:firstLine="630"/>
        <w:rPr>
          <w:rFonts w:ascii="仿宋_GB2312" w:hAnsi="仿宋_GB2312" w:cs="仿宋_GB2312"/>
          <w:szCs w:val="32"/>
        </w:rPr>
      </w:pPr>
      <w:r>
        <w:rPr>
          <w:rFonts w:hint="eastAsia" w:ascii="仿宋_GB2312" w:hAnsi="仿宋_GB2312" w:cs="仿宋_GB2312"/>
          <w:szCs w:val="32"/>
        </w:rPr>
        <w:t>9、核心软件和核心装备自主可控。车间应积极应用仿真设计工具软件、工业控制系统软件、生产制造管理软件等国产工业软件；高档数控机床与工业机器人、智能传感与控制装备、智能物流与仓储装备、智能检测与装配装备等国产装备。</w:t>
      </w:r>
    </w:p>
    <w:p>
      <w:pPr>
        <w:ind w:firstLine="630"/>
        <w:rPr>
          <w:rFonts w:ascii="仿宋_GB2312" w:hAnsi="仿宋_GB2312" w:cs="仿宋_GB2312"/>
          <w:szCs w:val="32"/>
        </w:rPr>
      </w:pPr>
      <w:r>
        <w:rPr>
          <w:rFonts w:hint="eastAsia" w:ascii="仿宋_GB2312" w:hAnsi="仿宋_GB2312" w:cs="仿宋_GB2312"/>
          <w:szCs w:val="32"/>
        </w:rPr>
        <w:t>10、车间与车间外部联动协同。车间与车间外部信息系统实现互联互通和数据集成。广泛应用计算机辅助设计及仿真系统、产品生命周期管理系统（PLM）、制造执行系统（MES）、企业资源计划管理系统（ERP）、供应链管理系统（SCM）等信息系统，车间内外实现管控一体化。</w:t>
      </w:r>
    </w:p>
    <w:p>
      <w:pPr>
        <w:ind w:firstLine="630"/>
        <w:rPr>
          <w:rFonts w:ascii="仿宋_GB2312" w:hAnsi="仿宋_GB2312" w:cs="仿宋_GB2312"/>
          <w:szCs w:val="32"/>
        </w:rPr>
      </w:pPr>
    </w:p>
    <w:p>
      <w:pPr>
        <w:spacing w:line="600" w:lineRule="exact"/>
        <w:ind w:firstLine="0" w:firstLineChars="0"/>
        <w:jc w:val="center"/>
        <w:rPr>
          <w:rFonts w:eastAsia="黑体"/>
          <w:szCs w:val="32"/>
        </w:rPr>
      </w:pPr>
      <w:r>
        <w:rPr>
          <w:rFonts w:hint="eastAsia" w:eastAsia="黑体"/>
          <w:szCs w:val="32"/>
        </w:rPr>
        <w:t>第</w:t>
      </w:r>
      <w:r>
        <w:rPr>
          <w:rFonts w:eastAsia="黑体"/>
          <w:szCs w:val="32"/>
        </w:rPr>
        <w:t>三章 遴选程序</w:t>
      </w:r>
    </w:p>
    <w:p>
      <w:pPr>
        <w:spacing w:line="600" w:lineRule="exact"/>
        <w:ind w:firstLine="630"/>
        <w:rPr>
          <w:rFonts w:eastAsia="黑体"/>
          <w:szCs w:val="32"/>
        </w:rPr>
      </w:pPr>
    </w:p>
    <w:p>
      <w:pPr>
        <w:widowControl/>
        <w:spacing w:line="600" w:lineRule="exact"/>
        <w:ind w:firstLine="630"/>
        <w:rPr>
          <w:kern w:val="0"/>
          <w:szCs w:val="32"/>
        </w:rPr>
      </w:pPr>
      <w:r>
        <w:rPr>
          <w:rFonts w:ascii="黑体" w:hAnsi="黑体" w:eastAsia="黑体" w:cs="黑体"/>
          <w:szCs w:val="32"/>
        </w:rPr>
        <w:t>第</w:t>
      </w:r>
      <w:r>
        <w:rPr>
          <w:rFonts w:hint="eastAsia" w:ascii="黑体" w:hAnsi="黑体" w:eastAsia="黑体" w:cs="黑体"/>
          <w:szCs w:val="32"/>
          <w:lang w:eastAsia="zh-CN"/>
        </w:rPr>
        <w:t>六</w:t>
      </w:r>
      <w:r>
        <w:rPr>
          <w:rFonts w:ascii="黑体" w:hAnsi="黑体" w:eastAsia="黑体" w:cs="黑体"/>
          <w:szCs w:val="32"/>
        </w:rPr>
        <w:t>条</w:t>
      </w:r>
      <w:r>
        <w:rPr>
          <w:b/>
          <w:bCs/>
          <w:szCs w:val="32"/>
        </w:rPr>
        <w:t xml:space="preserve">  </w:t>
      </w:r>
      <w:r>
        <w:rPr>
          <w:kern w:val="0"/>
          <w:szCs w:val="32"/>
        </w:rPr>
        <w:t>具体申报和遴选流程如下：</w:t>
      </w:r>
    </w:p>
    <w:p>
      <w:pPr>
        <w:widowControl/>
        <w:spacing w:line="600" w:lineRule="exact"/>
        <w:ind w:firstLine="630"/>
        <w:rPr>
          <w:szCs w:val="32"/>
        </w:rPr>
      </w:pPr>
      <w:r>
        <w:rPr>
          <w:rFonts w:hint="eastAsia" w:ascii="楷体_GB2312" w:hAnsi="楷体_GB2312" w:eastAsia="楷体_GB2312" w:cs="楷体_GB2312"/>
          <w:szCs w:val="32"/>
        </w:rPr>
        <w:t>（一）申请。</w:t>
      </w:r>
      <w:r>
        <w:rPr>
          <w:kern w:val="0"/>
          <w:szCs w:val="32"/>
        </w:rPr>
        <w:t>市工业和信息化局</w:t>
      </w:r>
      <w:r>
        <w:rPr>
          <w:szCs w:val="32"/>
        </w:rPr>
        <w:t>印发遴选通知，</w:t>
      </w:r>
      <w:r>
        <w:rPr>
          <w:rFonts w:hint="eastAsia"/>
          <w:szCs w:val="32"/>
        </w:rPr>
        <w:t>提</w:t>
      </w:r>
      <w:r>
        <w:rPr>
          <w:szCs w:val="32"/>
        </w:rPr>
        <w:t>出具体申报要求。企业</w:t>
      </w:r>
      <w:r>
        <w:rPr>
          <w:rFonts w:hint="eastAsia"/>
          <w:szCs w:val="32"/>
        </w:rPr>
        <w:t>对照</w:t>
      </w:r>
      <w:r>
        <w:rPr>
          <w:szCs w:val="32"/>
        </w:rPr>
        <w:t>申报通知，按照自愿申</w:t>
      </w:r>
      <w:r>
        <w:rPr>
          <w:rFonts w:hint="eastAsia"/>
          <w:szCs w:val="32"/>
        </w:rPr>
        <w:t>报</w:t>
      </w:r>
      <w:r>
        <w:rPr>
          <w:szCs w:val="32"/>
        </w:rPr>
        <w:t>原则，向市工业和信息化局提交相关申报材料；</w:t>
      </w:r>
    </w:p>
    <w:p>
      <w:pPr>
        <w:spacing w:line="600" w:lineRule="exact"/>
        <w:ind w:firstLine="630"/>
        <w:rPr>
          <w:szCs w:val="32"/>
        </w:rPr>
      </w:pPr>
      <w:r>
        <w:rPr>
          <w:rFonts w:ascii="楷体_GB2312" w:hAnsi="楷体_GB2312" w:eastAsia="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就申报单位是否存在不适宜遴选或资金支持的情况征求有关部门意见；</w:t>
      </w:r>
    </w:p>
    <w:p>
      <w:pPr>
        <w:spacing w:line="600" w:lineRule="exact"/>
        <w:ind w:firstLine="630"/>
        <w:rPr>
          <w:szCs w:val="32"/>
        </w:rPr>
      </w:pPr>
      <w:r>
        <w:rPr>
          <w:rFonts w:ascii="楷体_GB2312" w:hAnsi="楷体_GB2312" w:eastAsia="楷体_GB2312" w:cs="楷体_GB2312"/>
          <w:szCs w:val="32"/>
        </w:rPr>
        <w:t>（三）评审。</w:t>
      </w:r>
      <w:r>
        <w:rPr>
          <w:szCs w:val="32"/>
        </w:rPr>
        <w:t>市工业和信息化局组织专家或委托第三方对申报单位进行评审；</w:t>
      </w:r>
    </w:p>
    <w:p>
      <w:pPr>
        <w:spacing w:line="600" w:lineRule="exact"/>
        <w:ind w:firstLine="630"/>
        <w:rPr>
          <w:szCs w:val="32"/>
        </w:rPr>
      </w:pPr>
      <w:r>
        <w:rPr>
          <w:rFonts w:ascii="楷体_GB2312" w:hAnsi="楷体_GB2312" w:eastAsia="楷体_GB2312" w:cs="楷体_GB2312"/>
          <w:szCs w:val="32"/>
        </w:rPr>
        <w:t>（四）公示。</w:t>
      </w:r>
      <w:r>
        <w:rPr>
          <w:szCs w:val="32"/>
        </w:rPr>
        <w:t>市工业和信息化局组</w:t>
      </w:r>
      <w:r>
        <w:rPr>
          <w:kern w:val="0"/>
          <w:szCs w:val="32"/>
        </w:rPr>
        <w:t>根据评审结果</w:t>
      </w:r>
      <w:r>
        <w:rPr>
          <w:szCs w:val="32"/>
        </w:rPr>
        <w:t>拟定</w:t>
      </w:r>
      <w:r>
        <w:rPr>
          <w:rFonts w:hint="eastAsia"/>
          <w:szCs w:val="32"/>
        </w:rPr>
        <w:t>智能</w:t>
      </w:r>
      <w:r>
        <w:rPr>
          <w:szCs w:val="32"/>
        </w:rPr>
        <w:t>工厂名单，</w:t>
      </w:r>
      <w:r>
        <w:rPr>
          <w:rFonts w:hint="eastAsia"/>
          <w:szCs w:val="32"/>
        </w:rPr>
        <w:t>并进</w:t>
      </w:r>
      <w:r>
        <w:rPr>
          <w:szCs w:val="32"/>
        </w:rPr>
        <w:t>行社会公示7天；</w:t>
      </w:r>
    </w:p>
    <w:p>
      <w:pPr>
        <w:spacing w:line="600" w:lineRule="exact"/>
        <w:ind w:firstLine="630"/>
        <w:rPr>
          <w:szCs w:val="32"/>
        </w:rPr>
      </w:pPr>
      <w:r>
        <w:rPr>
          <w:rFonts w:ascii="楷体_GB2312" w:hAnsi="楷体_GB2312" w:eastAsia="楷体_GB2312" w:cs="楷体_GB2312"/>
          <w:szCs w:val="32"/>
        </w:rPr>
        <w:t>（五）遴选。</w:t>
      </w:r>
      <w:r>
        <w:rPr>
          <w:rFonts w:hint="eastAsia"/>
          <w:szCs w:val="32"/>
        </w:rPr>
        <w:t>经</w:t>
      </w:r>
      <w:r>
        <w:rPr>
          <w:szCs w:val="32"/>
        </w:rPr>
        <w:t>社会公示无异议，由</w:t>
      </w:r>
      <w:r>
        <w:rPr>
          <w:kern w:val="0"/>
          <w:szCs w:val="32"/>
        </w:rPr>
        <w:t>市工业和信息化局报请市政府同意后，</w:t>
      </w:r>
      <w:r>
        <w:rPr>
          <w:szCs w:val="32"/>
        </w:rPr>
        <w:t>公布遴选名单。</w:t>
      </w:r>
    </w:p>
    <w:p>
      <w:pPr>
        <w:spacing w:line="600" w:lineRule="exact"/>
        <w:ind w:firstLine="630"/>
        <w:rPr>
          <w:szCs w:val="32"/>
        </w:rPr>
      </w:pPr>
    </w:p>
    <w:p>
      <w:pPr>
        <w:spacing w:line="600" w:lineRule="exact"/>
        <w:ind w:firstLine="0" w:firstLineChars="0"/>
        <w:jc w:val="center"/>
        <w:rPr>
          <w:rFonts w:eastAsia="黑体"/>
          <w:szCs w:val="32"/>
        </w:rPr>
      </w:pPr>
      <w:r>
        <w:rPr>
          <w:rFonts w:hint="eastAsia" w:eastAsia="黑体"/>
          <w:szCs w:val="32"/>
        </w:rPr>
        <w:t xml:space="preserve">第四章 </w:t>
      </w:r>
      <w:r>
        <w:rPr>
          <w:rFonts w:eastAsia="黑体"/>
          <w:szCs w:val="32"/>
        </w:rPr>
        <w:t>管理</w:t>
      </w:r>
      <w:r>
        <w:rPr>
          <w:rFonts w:hint="eastAsia" w:eastAsia="黑体"/>
          <w:szCs w:val="32"/>
        </w:rPr>
        <w:t>服务</w:t>
      </w:r>
    </w:p>
    <w:p>
      <w:pPr>
        <w:spacing w:line="600" w:lineRule="exact"/>
        <w:ind w:firstLine="0" w:firstLineChars="0"/>
        <w:jc w:val="center"/>
        <w:rPr>
          <w:szCs w:val="32"/>
        </w:rPr>
      </w:pPr>
    </w:p>
    <w:p>
      <w:pPr>
        <w:spacing w:line="600" w:lineRule="exact"/>
        <w:ind w:firstLine="630"/>
        <w:rPr>
          <w:szCs w:val="32"/>
        </w:rPr>
      </w:pPr>
      <w:r>
        <w:rPr>
          <w:rFonts w:hint="eastAsia" w:ascii="黑体" w:hAnsi="黑体" w:eastAsia="黑体" w:cs="黑体"/>
          <w:szCs w:val="32"/>
        </w:rPr>
        <w:t>第</w:t>
      </w:r>
      <w:r>
        <w:rPr>
          <w:rFonts w:hint="eastAsia" w:ascii="黑体" w:hAnsi="黑体" w:eastAsia="黑体" w:cs="黑体"/>
          <w:szCs w:val="32"/>
          <w:lang w:eastAsia="zh-CN"/>
        </w:rPr>
        <w:t>七</w:t>
      </w:r>
      <w:r>
        <w:rPr>
          <w:rFonts w:hint="eastAsia" w:ascii="黑体" w:hAnsi="黑体" w:eastAsia="黑体" w:cs="黑体"/>
          <w:szCs w:val="32"/>
        </w:rPr>
        <w:t>条</w:t>
      </w:r>
      <w:r>
        <w:rPr>
          <w:rFonts w:hint="eastAsia"/>
          <w:szCs w:val="32"/>
        </w:rPr>
        <w:t xml:space="preserve"> </w:t>
      </w:r>
      <w:r>
        <w:rPr>
          <w:szCs w:val="32"/>
        </w:rPr>
        <w:t xml:space="preserve"> </w:t>
      </w:r>
      <w:r>
        <w:rPr>
          <w:rFonts w:hint="eastAsia"/>
          <w:szCs w:val="32"/>
          <w:lang w:eastAsia="zh-CN"/>
        </w:rPr>
        <w:t>对经认定并符合相关条件的智能车间项目，可推荐申报国家、省相关试点项目和扶持引导资金。</w:t>
      </w:r>
    </w:p>
    <w:p>
      <w:pPr>
        <w:spacing w:line="600" w:lineRule="exact"/>
        <w:ind w:firstLine="630"/>
        <w:rPr>
          <w:szCs w:val="32"/>
        </w:rPr>
      </w:pPr>
      <w:r>
        <w:rPr>
          <w:rFonts w:hint="eastAsia" w:ascii="黑体" w:hAnsi="黑体" w:eastAsia="黑体" w:cs="黑体"/>
          <w:szCs w:val="32"/>
        </w:rPr>
        <w:t>第</w:t>
      </w:r>
      <w:r>
        <w:rPr>
          <w:rFonts w:hint="eastAsia" w:ascii="黑体" w:hAnsi="黑体" w:eastAsia="黑体" w:cs="黑体"/>
          <w:szCs w:val="32"/>
          <w:lang w:eastAsia="zh-CN"/>
        </w:rPr>
        <w:t>八</w:t>
      </w:r>
      <w:r>
        <w:rPr>
          <w:rFonts w:hint="eastAsia" w:ascii="黑体" w:hAnsi="黑体" w:eastAsia="黑体" w:cs="黑体"/>
          <w:szCs w:val="32"/>
        </w:rPr>
        <w:t>条</w:t>
      </w:r>
      <w:r>
        <w:rPr>
          <w:rFonts w:hint="eastAsia"/>
          <w:szCs w:val="32"/>
        </w:rPr>
        <w:t xml:space="preserve">  经认</w:t>
      </w:r>
      <w:r>
        <w:rPr>
          <w:szCs w:val="32"/>
        </w:rPr>
        <w:t>定的</w:t>
      </w:r>
      <w:r>
        <w:rPr>
          <w:rFonts w:hint="eastAsia"/>
          <w:szCs w:val="32"/>
        </w:rPr>
        <w:t>智能车</w:t>
      </w:r>
      <w:r>
        <w:rPr>
          <w:szCs w:val="32"/>
        </w:rPr>
        <w:t>间</w:t>
      </w:r>
      <w:r>
        <w:rPr>
          <w:rFonts w:hint="eastAsia"/>
          <w:szCs w:val="32"/>
        </w:rPr>
        <w:t>项</w:t>
      </w:r>
      <w:bookmarkStart w:id="0" w:name="_GoBack"/>
      <w:bookmarkEnd w:id="0"/>
      <w:r>
        <w:rPr>
          <w:rFonts w:hint="eastAsia"/>
          <w:szCs w:val="32"/>
        </w:rPr>
        <w:t>目</w:t>
      </w:r>
      <w:r>
        <w:rPr>
          <w:szCs w:val="32"/>
        </w:rPr>
        <w:t>，</w:t>
      </w:r>
      <w:r>
        <w:rPr>
          <w:rFonts w:hint="eastAsia"/>
          <w:szCs w:val="32"/>
        </w:rPr>
        <w:t>项目</w:t>
      </w:r>
      <w:r>
        <w:rPr>
          <w:szCs w:val="32"/>
        </w:rPr>
        <w:t>申报</w:t>
      </w:r>
      <w:r>
        <w:rPr>
          <w:rFonts w:hint="eastAsia"/>
          <w:szCs w:val="32"/>
        </w:rPr>
        <w:t>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pPr>
        <w:ind w:firstLine="630"/>
        <w:jc w:val="center"/>
        <w:rPr>
          <w:rFonts w:eastAsia="黑体" w:cs="Times New Roman"/>
          <w:szCs w:val="32"/>
        </w:rPr>
      </w:pPr>
      <w:r>
        <w:rPr>
          <w:rFonts w:eastAsia="黑体" w:cs="Times New Roman"/>
          <w:szCs w:val="32"/>
        </w:rPr>
        <w:t>第</w:t>
      </w:r>
      <w:r>
        <w:rPr>
          <w:rFonts w:hint="eastAsia" w:eastAsia="黑体" w:cs="Times New Roman"/>
          <w:szCs w:val="32"/>
        </w:rPr>
        <w:t>五</w:t>
      </w:r>
      <w:r>
        <w:rPr>
          <w:rFonts w:eastAsia="黑体" w:cs="Times New Roman"/>
          <w:szCs w:val="32"/>
        </w:rPr>
        <w:t>章 附则</w:t>
      </w:r>
    </w:p>
    <w:p>
      <w:pPr>
        <w:tabs>
          <w:tab w:val="left" w:pos="360"/>
        </w:tabs>
        <w:ind w:firstLine="630"/>
        <w:rPr>
          <w:rFonts w:ascii="仿宋_GB2312" w:hAnsi="仿宋_GB2312" w:cs="仿宋_GB2312"/>
          <w:szCs w:val="32"/>
          <w:highlight w:val="yellow"/>
        </w:rPr>
      </w:pPr>
      <w:r>
        <w:rPr>
          <w:rFonts w:hint="eastAsia" w:ascii="黑体" w:hAnsi="黑体" w:eastAsia="黑体" w:cs="黑体"/>
          <w:szCs w:val="32"/>
        </w:rPr>
        <w:t>第</w:t>
      </w:r>
      <w:r>
        <w:rPr>
          <w:rFonts w:hint="eastAsia" w:ascii="黑体" w:hAnsi="黑体" w:eastAsia="黑体" w:cs="黑体"/>
          <w:szCs w:val="32"/>
          <w:lang w:eastAsia="zh-CN"/>
        </w:rPr>
        <w:t>九</w:t>
      </w:r>
      <w:r>
        <w:rPr>
          <w:rFonts w:hint="eastAsia" w:ascii="黑体" w:hAnsi="黑体" w:eastAsia="黑体" w:cs="黑体"/>
          <w:szCs w:val="32"/>
        </w:rPr>
        <w:t>条</w:t>
      </w:r>
      <w:r>
        <w:rPr>
          <w:rFonts w:hint="eastAsia" w:ascii="仿宋_GB2312" w:hAnsi="仿宋_GB2312" w:cs="仿宋_GB2312"/>
          <w:szCs w:val="32"/>
        </w:rPr>
        <w:t xml:space="preserve">  本办法涉及的智能车</w:t>
      </w:r>
      <w:r>
        <w:rPr>
          <w:rFonts w:ascii="仿宋_GB2312" w:hAnsi="仿宋_GB2312" w:cs="仿宋_GB2312"/>
          <w:szCs w:val="32"/>
        </w:rPr>
        <w:t>间项目</w:t>
      </w:r>
      <w:r>
        <w:rPr>
          <w:rFonts w:hint="eastAsia" w:ascii="仿宋_GB2312" w:hAnsi="仿宋_GB2312" w:cs="仿宋_GB2312"/>
          <w:szCs w:val="32"/>
        </w:rPr>
        <w:t>申报材料要求等，由市工业和信息化局发布并适时调整。</w:t>
      </w:r>
    </w:p>
    <w:p>
      <w:pPr>
        <w:ind w:firstLine="630"/>
        <w:rPr>
          <w:rFonts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xml:space="preserve">  本办法自2022年**月**日起执行，有效期至2025年</w:t>
      </w:r>
      <w:r>
        <w:rPr>
          <w:rFonts w:ascii="仿宋_GB2312" w:hAnsi="仿宋_GB2312" w:cs="仿宋_GB2312"/>
          <w:szCs w:val="32"/>
        </w:rPr>
        <w:t>12</w:t>
      </w:r>
      <w:r>
        <w:rPr>
          <w:rFonts w:hint="eastAsia" w:ascii="仿宋_GB2312" w:hAnsi="仿宋_GB2312" w:cs="仿宋_GB2312"/>
          <w:szCs w:val="32"/>
        </w:rPr>
        <w:t>月31日。</w:t>
      </w:r>
    </w:p>
    <w:p>
      <w:pPr>
        <w:ind w:firstLine="630"/>
        <w:rPr>
          <w:rFonts w:ascii="仿宋_GB2312" w:hAnsi="仿宋_GB2312" w:cs="仿宋_GB2312"/>
          <w:szCs w:val="32"/>
        </w:rPr>
      </w:pPr>
      <w:r>
        <w:rPr>
          <w:rFonts w:hint="eastAsia" w:ascii="黑体" w:hAnsi="黑体" w:eastAsia="黑体" w:cs="黑体"/>
          <w:szCs w:val="32"/>
        </w:rPr>
        <w:t>第十</w:t>
      </w:r>
      <w:r>
        <w:rPr>
          <w:rFonts w:hint="eastAsia" w:ascii="黑体" w:hAnsi="黑体" w:eastAsia="黑体" w:cs="黑体"/>
          <w:szCs w:val="32"/>
          <w:lang w:eastAsia="zh-CN"/>
        </w:rPr>
        <w:t>一</w:t>
      </w:r>
      <w:r>
        <w:rPr>
          <w:rFonts w:hint="eastAsia" w:ascii="黑体" w:hAnsi="黑体" w:eastAsia="黑体" w:cs="黑体"/>
          <w:szCs w:val="32"/>
        </w:rPr>
        <w:t>条</w:t>
      </w:r>
      <w:r>
        <w:rPr>
          <w:rFonts w:hint="eastAsia" w:ascii="仿宋_GB2312" w:hAnsi="仿宋_GB2312" w:cs="仿宋_GB2312"/>
          <w:szCs w:val="32"/>
        </w:rPr>
        <w:t xml:space="preserve">  本办法由市工业和信息化局负责解释。</w:t>
      </w:r>
    </w:p>
    <w:p>
      <w:pPr>
        <w:ind w:firstLine="630"/>
      </w:pPr>
    </w:p>
    <w:p>
      <w:pPr>
        <w:ind w:firstLine="630"/>
      </w:pPr>
    </w:p>
    <w:p>
      <w:pPr>
        <w:ind w:firstLine="630"/>
      </w:pPr>
    </w:p>
    <w:p>
      <w:pPr>
        <w:ind w:firstLine="63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titlePg/>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00739"/>
      <w:docPartObj>
        <w:docPartGallery w:val="autotext"/>
      </w:docPartObj>
    </w:sdtPr>
    <w:sdtEndPr>
      <w:rPr>
        <w:rFonts w:cs="Times New Roman"/>
        <w:sz w:val="28"/>
        <w:szCs w:val="28"/>
      </w:rPr>
    </w:sdtEndPr>
    <w:sdtContent>
      <w:p>
        <w:pPr>
          <w:pStyle w:val="4"/>
          <w:ind w:firstLine="360"/>
          <w:jc w:val="right"/>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5</w:t>
        </w:r>
        <w:r>
          <w:rPr>
            <w:rFonts w:cs="Times New Roman"/>
            <w:sz w:val="28"/>
            <w:szCs w:val="28"/>
          </w:rPr>
          <w:fldChar w:fldCharType="end"/>
        </w:r>
        <w:r>
          <w:rPr>
            <w:sz w:val="28"/>
            <w:szCs w:val="28"/>
          </w:rPr>
          <w:t>—</w:t>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28717"/>
      <w:docPartObj>
        <w:docPartGallery w:val="autotext"/>
      </w:docPartObj>
    </w:sdtPr>
    <w:sdtEndPr>
      <w:rPr>
        <w:rFonts w:cs="Times New Roman"/>
        <w:sz w:val="28"/>
        <w:szCs w:val="28"/>
      </w:rPr>
    </w:sdtEndPr>
    <w:sdtContent>
      <w:p>
        <w:pPr>
          <w:pStyle w:val="4"/>
          <w:ind w:firstLine="360"/>
          <w:rPr>
            <w:rFonts w:cs="Times New Roman"/>
            <w:sz w:val="28"/>
            <w:szCs w:val="28"/>
          </w:rPr>
        </w:pPr>
        <w:r>
          <w:rPr>
            <w:sz w:val="28"/>
            <w:szCs w:val="28"/>
          </w:rPr>
          <w:t>—</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6</w:t>
        </w:r>
        <w:r>
          <w:rPr>
            <w:rFonts w:cs="Times New Roman"/>
            <w:sz w:val="28"/>
            <w:szCs w:val="28"/>
          </w:rPr>
          <w:fldChar w:fldCharType="end"/>
        </w:r>
        <w:r>
          <w:rPr>
            <w:sz w:val="28"/>
            <w:szCs w:val="28"/>
          </w:rPr>
          <w:t>—</w:t>
        </w:r>
      </w:p>
    </w:sdtContent>
  </w:sdt>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31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2D"/>
    <w:rsid w:val="000A7437"/>
    <w:rsid w:val="00132887"/>
    <w:rsid w:val="001708B0"/>
    <w:rsid w:val="00183C19"/>
    <w:rsid w:val="001C54AC"/>
    <w:rsid w:val="001E5A59"/>
    <w:rsid w:val="00202B55"/>
    <w:rsid w:val="00214A51"/>
    <w:rsid w:val="00245FAE"/>
    <w:rsid w:val="00324A08"/>
    <w:rsid w:val="00367B65"/>
    <w:rsid w:val="00487C22"/>
    <w:rsid w:val="004F2C54"/>
    <w:rsid w:val="0052475C"/>
    <w:rsid w:val="00543527"/>
    <w:rsid w:val="00637209"/>
    <w:rsid w:val="00693F4B"/>
    <w:rsid w:val="006D241C"/>
    <w:rsid w:val="0071056A"/>
    <w:rsid w:val="00715AE3"/>
    <w:rsid w:val="00726058"/>
    <w:rsid w:val="0077793D"/>
    <w:rsid w:val="007C6C02"/>
    <w:rsid w:val="008064F2"/>
    <w:rsid w:val="00853933"/>
    <w:rsid w:val="008771EA"/>
    <w:rsid w:val="00896E2E"/>
    <w:rsid w:val="008B323F"/>
    <w:rsid w:val="008D44B8"/>
    <w:rsid w:val="008E2507"/>
    <w:rsid w:val="0090685B"/>
    <w:rsid w:val="009251A0"/>
    <w:rsid w:val="00930ED8"/>
    <w:rsid w:val="00950F29"/>
    <w:rsid w:val="00951D20"/>
    <w:rsid w:val="00A7342D"/>
    <w:rsid w:val="00B04EF2"/>
    <w:rsid w:val="00B126AF"/>
    <w:rsid w:val="00B37997"/>
    <w:rsid w:val="00B724D4"/>
    <w:rsid w:val="00C84C41"/>
    <w:rsid w:val="00F53EEA"/>
    <w:rsid w:val="00F650E3"/>
    <w:rsid w:val="00F65774"/>
    <w:rsid w:val="00FA003A"/>
    <w:rsid w:val="00FD674B"/>
    <w:rsid w:val="00FE44F9"/>
    <w:rsid w:val="FBFFF240"/>
    <w:rsid w:val="FFF2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2"/>
    <w:semiHidden/>
    <w:unhideWhenUsed/>
    <w:qFormat/>
    <w:uiPriority w:val="9"/>
    <w:pPr>
      <w:keepNext/>
      <w:keepLines/>
      <w:outlineLvl w:val="1"/>
    </w:pPr>
    <w:rPr>
      <w:rFonts w:eastAsia="楷体_GB2312" w:asciiTheme="majorHAnsi" w:hAnsiTheme="majorHAnsi" w:cstheme="majorBidi"/>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11"/>
    <w:pPr>
      <w:ind w:firstLine="0" w:firstLineChars="0"/>
      <w:jc w:val="left"/>
    </w:pPr>
    <w:rPr>
      <w:rFonts w:ascii="黑体" w:hAnsi="黑体" w:eastAsia="黑体" w:cstheme="majorBidi"/>
      <w:bCs/>
      <w:kern w:val="28"/>
      <w:szCs w:val="32"/>
    </w:rPr>
  </w:style>
  <w:style w:type="paragraph" w:styleId="7">
    <w:name w:val="Title"/>
    <w:basedOn w:val="1"/>
    <w:next w:val="1"/>
    <w:link w:val="14"/>
    <w:qFormat/>
    <w:uiPriority w:val="10"/>
    <w:pPr>
      <w:jc w:val="center"/>
    </w:pPr>
    <w:rPr>
      <w:rFonts w:asciiTheme="majorHAnsi" w:hAnsiTheme="majorHAnsi" w:cstheme="majorBidi"/>
      <w:bCs/>
      <w:szCs w:val="32"/>
    </w:rPr>
  </w:style>
  <w:style w:type="character" w:customStyle="1" w:styleId="10">
    <w:name w:val="页眉 Char"/>
    <w:basedOn w:val="9"/>
    <w:link w:val="5"/>
    <w:qFormat/>
    <w:uiPriority w:val="99"/>
    <w:rPr>
      <w:rFonts w:eastAsia="仿宋_GB2312"/>
      <w:sz w:val="18"/>
      <w:szCs w:val="18"/>
    </w:rPr>
  </w:style>
  <w:style w:type="character" w:customStyle="1" w:styleId="11">
    <w:name w:val="页脚 Char"/>
    <w:basedOn w:val="9"/>
    <w:link w:val="4"/>
    <w:qFormat/>
    <w:uiPriority w:val="99"/>
    <w:rPr>
      <w:rFonts w:eastAsia="仿宋_GB2312"/>
      <w:sz w:val="18"/>
      <w:szCs w:val="18"/>
    </w:rPr>
  </w:style>
  <w:style w:type="character" w:customStyle="1" w:styleId="12">
    <w:name w:val="标题 2 Char"/>
    <w:basedOn w:val="9"/>
    <w:link w:val="3"/>
    <w:semiHidden/>
    <w:qFormat/>
    <w:uiPriority w:val="9"/>
    <w:rPr>
      <w:rFonts w:eastAsia="楷体_GB2312" w:asciiTheme="majorHAnsi" w:hAnsiTheme="majorHAnsi" w:cstheme="majorBidi"/>
      <w:bCs/>
      <w:sz w:val="32"/>
      <w:szCs w:val="32"/>
    </w:rPr>
  </w:style>
  <w:style w:type="character" w:customStyle="1" w:styleId="13">
    <w:name w:val="标题 1 Char"/>
    <w:basedOn w:val="9"/>
    <w:link w:val="2"/>
    <w:qFormat/>
    <w:uiPriority w:val="9"/>
    <w:rPr>
      <w:rFonts w:eastAsia="黑体"/>
      <w:bCs/>
      <w:kern w:val="44"/>
      <w:sz w:val="32"/>
      <w:szCs w:val="44"/>
    </w:rPr>
  </w:style>
  <w:style w:type="character" w:customStyle="1" w:styleId="14">
    <w:name w:val="标题 Char"/>
    <w:basedOn w:val="9"/>
    <w:link w:val="7"/>
    <w:qFormat/>
    <w:uiPriority w:val="10"/>
    <w:rPr>
      <w:rFonts w:eastAsia="仿宋_GB2312" w:asciiTheme="majorHAnsi" w:hAnsiTheme="majorHAnsi" w:cstheme="majorBidi"/>
      <w:bCs/>
      <w:sz w:val="32"/>
      <w:szCs w:val="32"/>
    </w:rPr>
  </w:style>
  <w:style w:type="paragraph" w:styleId="15">
    <w:name w:val="No Spacing"/>
    <w:qFormat/>
    <w:uiPriority w:val="1"/>
    <w:pPr>
      <w:widowControl w:val="0"/>
      <w:spacing w:line="579" w:lineRule="exact"/>
      <w:jc w:val="center"/>
    </w:pPr>
    <w:rPr>
      <w:rFonts w:ascii="Times New Roman" w:hAnsi="Times New Roman" w:eastAsia="方正小标宋简体" w:cstheme="minorBidi"/>
      <w:kern w:val="2"/>
      <w:sz w:val="44"/>
      <w:szCs w:val="22"/>
      <w:lang w:val="en-US" w:eastAsia="zh-CN" w:bidi="ar-SA"/>
    </w:rPr>
  </w:style>
  <w:style w:type="character" w:customStyle="1" w:styleId="16">
    <w:name w:val="副标题 Char"/>
    <w:basedOn w:val="9"/>
    <w:link w:val="6"/>
    <w:qFormat/>
    <w:uiPriority w:val="11"/>
    <w:rPr>
      <w:rFonts w:ascii="黑体" w:hAnsi="黑体" w:eastAsia="黑体" w:cstheme="majorBidi"/>
      <w:bCs/>
      <w:kern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JXJ</Company>
  <Pages>6</Pages>
  <Words>349</Words>
  <Characters>1995</Characters>
  <Lines>16</Lines>
  <Paragraphs>4</Paragraphs>
  <TotalTime>1</TotalTime>
  <ScaleCrop>false</ScaleCrop>
  <LinksUpToDate>false</LinksUpToDate>
  <CharactersWithSpaces>2340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2022-04-24T18:22:00Z</dcterms:created>
  <dc:creator>邝炜宗</dc:creator>
  <cp:lastModifiedBy>uos</cp:lastModifiedBy>
  <dcterms:modified xsi:type="dcterms:W3CDTF">2022-06-21T10:33:38Z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