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rFonts w:hint="eastAsia"/>
        </w:rPr>
        <w:t>附件1：</w:t>
      </w:r>
    </w:p>
    <w:p>
      <w:pPr>
        <w:ind w:firstLine="0" w:firstLineChars="0"/>
        <w:rPr>
          <w:rFonts w:hint="eastAsia"/>
        </w:rPr>
      </w:pPr>
    </w:p>
    <w:p>
      <w:pPr>
        <w:pStyle w:val="16"/>
      </w:pPr>
      <w:r>
        <w:rPr>
          <w:rFonts w:hint="eastAsia"/>
        </w:rPr>
        <w:t>东莞市智能工</w:t>
      </w:r>
      <w:r>
        <w:t>厂</w:t>
      </w:r>
      <w:r>
        <w:rPr>
          <w:rFonts w:hint="eastAsia"/>
        </w:rPr>
        <w:t>认定管理办法</w:t>
      </w:r>
    </w:p>
    <w:p>
      <w:pPr>
        <w:ind w:firstLine="0" w:firstLineChars="0"/>
        <w:jc w:val="center"/>
        <w:rPr>
          <w:rFonts w:ascii="楷体" w:hAnsi="楷体" w:eastAsia="楷体"/>
        </w:rPr>
      </w:pPr>
      <w:r>
        <w:rPr>
          <w:rFonts w:hint="eastAsia" w:ascii="楷体" w:hAnsi="楷体" w:eastAsia="楷体"/>
        </w:rPr>
        <w:t>（征求</w:t>
      </w:r>
      <w:r>
        <w:rPr>
          <w:rFonts w:ascii="楷体" w:hAnsi="楷体" w:eastAsia="楷体"/>
        </w:rPr>
        <w:t>意见稿）</w:t>
      </w:r>
    </w:p>
    <w:p>
      <w:pPr>
        <w:ind w:firstLine="630"/>
      </w:pPr>
    </w:p>
    <w:p>
      <w:pPr>
        <w:spacing w:line="600" w:lineRule="exact"/>
        <w:ind w:firstLine="0" w:firstLineChars="0"/>
        <w:jc w:val="center"/>
        <w:rPr>
          <w:rFonts w:eastAsia="黑体"/>
          <w:szCs w:val="32"/>
        </w:rPr>
      </w:pPr>
      <w:r>
        <w:rPr>
          <w:rFonts w:hint="eastAsia" w:eastAsia="黑体"/>
          <w:szCs w:val="32"/>
        </w:rPr>
        <w:t>第</w:t>
      </w:r>
      <w:r>
        <w:rPr>
          <w:rFonts w:eastAsia="黑体"/>
          <w:szCs w:val="32"/>
        </w:rPr>
        <w:t>一章</w:t>
      </w:r>
      <w:r>
        <w:rPr>
          <w:rFonts w:hint="eastAsia" w:eastAsia="黑体"/>
          <w:szCs w:val="32"/>
        </w:rPr>
        <w:t xml:space="preserve"> </w:t>
      </w:r>
      <w:r>
        <w:rPr>
          <w:rFonts w:eastAsia="黑体"/>
          <w:szCs w:val="32"/>
        </w:rPr>
        <w:t>总 则</w:t>
      </w:r>
    </w:p>
    <w:p>
      <w:pPr>
        <w:spacing w:line="600" w:lineRule="exact"/>
        <w:ind w:firstLine="630"/>
        <w:rPr>
          <w:rFonts w:eastAsia="黑体"/>
          <w:szCs w:val="32"/>
        </w:rPr>
      </w:pPr>
    </w:p>
    <w:p>
      <w:pPr>
        <w:spacing w:line="600" w:lineRule="exact"/>
        <w:ind w:firstLine="630"/>
        <w:rPr>
          <w:bCs/>
          <w:szCs w:val="32"/>
        </w:rPr>
      </w:pPr>
      <w:r>
        <w:rPr>
          <w:rFonts w:hint="eastAsia" w:ascii="黑体" w:hAnsi="黑体" w:eastAsia="黑体" w:cs="黑体"/>
          <w:szCs w:val="32"/>
        </w:rPr>
        <w:t>第一条</w:t>
      </w:r>
      <w:r>
        <w:rPr>
          <w:b/>
          <w:bCs/>
          <w:szCs w:val="32"/>
        </w:rPr>
        <w:t xml:space="preserve">  </w:t>
      </w:r>
      <w:r>
        <w:rPr>
          <w:kern w:val="0"/>
          <w:szCs w:val="32"/>
        </w:rPr>
        <w:t>根据《广东省人民政府关于印发广东省制造业数字化转型实施方案及若干政策措施的通知》（粤府〔2021〕45号）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府〔2022〕1号）等文件精神</w:t>
      </w:r>
      <w:r>
        <w:rPr>
          <w:bCs/>
          <w:szCs w:val="32"/>
        </w:rPr>
        <w:t>，结合我市实际，</w:t>
      </w:r>
      <w:r>
        <w:rPr>
          <w:kern w:val="0"/>
          <w:szCs w:val="32"/>
        </w:rPr>
        <w:t>认定一批</w:t>
      </w:r>
      <w:r>
        <w:rPr>
          <w:rFonts w:hint="eastAsia"/>
          <w:kern w:val="0"/>
          <w:szCs w:val="32"/>
        </w:rPr>
        <w:t>智能</w:t>
      </w:r>
      <w:r>
        <w:rPr>
          <w:kern w:val="0"/>
          <w:szCs w:val="32"/>
        </w:rPr>
        <w:t>工厂，</w:t>
      </w:r>
      <w:r>
        <w:rPr>
          <w:rFonts w:hint="eastAsia"/>
          <w:kern w:val="0"/>
          <w:szCs w:val="32"/>
        </w:rPr>
        <w:t>发</w:t>
      </w:r>
      <w:r>
        <w:rPr>
          <w:kern w:val="0"/>
          <w:szCs w:val="32"/>
        </w:rPr>
        <w:t>挥示范带动作用，</w:t>
      </w:r>
      <w:r>
        <w:rPr>
          <w:rFonts w:hint="eastAsia"/>
          <w:kern w:val="0"/>
          <w:szCs w:val="32"/>
        </w:rPr>
        <w:t>助力制造业数字化转型，实现高质</w:t>
      </w:r>
      <w:r>
        <w:rPr>
          <w:rFonts w:hint="eastAsia"/>
          <w:bCs/>
          <w:szCs w:val="32"/>
        </w:rPr>
        <w:t>量发展</w:t>
      </w:r>
      <w:r>
        <w:rPr>
          <w:bCs/>
          <w:szCs w:val="32"/>
        </w:rPr>
        <w:t>，特制定本办法。</w:t>
      </w:r>
    </w:p>
    <w:p>
      <w:pPr>
        <w:spacing w:line="600" w:lineRule="exact"/>
        <w:ind w:firstLine="630"/>
        <w:rPr>
          <w:b/>
          <w:bCs/>
          <w:szCs w:val="32"/>
        </w:rPr>
      </w:pPr>
      <w:r>
        <w:rPr>
          <w:rFonts w:hint="eastAsia" w:ascii="黑体" w:hAnsi="黑体" w:eastAsia="黑体" w:cs="黑体"/>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）认定的东莞市</w:t>
      </w:r>
      <w:r>
        <w:rPr>
          <w:rFonts w:hint="eastAsia"/>
          <w:bCs/>
          <w:szCs w:val="32"/>
        </w:rPr>
        <w:t>智能</w:t>
      </w:r>
      <w:r>
        <w:rPr>
          <w:bCs/>
          <w:szCs w:val="32"/>
        </w:rPr>
        <w:t>工厂（以下简称</w:t>
      </w:r>
      <w:r>
        <w:rPr>
          <w:rFonts w:hint="eastAsia"/>
          <w:bCs/>
          <w:szCs w:val="32"/>
        </w:rPr>
        <w:t>“智能</w:t>
      </w:r>
      <w:r>
        <w:rPr>
          <w:bCs/>
          <w:szCs w:val="32"/>
        </w:rPr>
        <w:t>工厂</w:t>
      </w:r>
      <w:r>
        <w:rPr>
          <w:rFonts w:hint="eastAsia"/>
          <w:bCs/>
          <w:szCs w:val="32"/>
        </w:rPr>
        <w:t>”</w:t>
      </w:r>
      <w:r>
        <w:rPr>
          <w:bCs/>
          <w:szCs w:val="32"/>
        </w:rPr>
        <w:t>）</w:t>
      </w:r>
      <w:r>
        <w:rPr>
          <w:rFonts w:hint="eastAsia"/>
          <w:bCs/>
          <w:szCs w:val="32"/>
        </w:rPr>
        <w:t>。</w:t>
      </w:r>
    </w:p>
    <w:p>
      <w:pPr>
        <w:spacing w:line="600" w:lineRule="exact"/>
        <w:ind w:firstLine="630"/>
      </w:pPr>
      <w:r>
        <w:rPr>
          <w:rFonts w:hint="eastAsia" w:ascii="黑体" w:hAnsi="黑体" w:eastAsia="黑体" w:cs="黑体"/>
          <w:szCs w:val="32"/>
        </w:rPr>
        <w:t>第三条</w:t>
      </w:r>
      <w:r>
        <w:rPr>
          <w:b/>
          <w:bCs/>
          <w:szCs w:val="32"/>
        </w:rPr>
        <w:t xml:space="preserve">  </w:t>
      </w:r>
      <w:r>
        <w:rPr>
          <w:szCs w:val="32"/>
        </w:rPr>
        <w:t>本办法所称</w:t>
      </w:r>
      <w:r>
        <w:rPr>
          <w:rFonts w:hint="eastAsia"/>
          <w:bCs/>
          <w:szCs w:val="32"/>
        </w:rPr>
        <w:t>智能</w:t>
      </w:r>
      <w:r>
        <w:rPr>
          <w:bCs/>
          <w:szCs w:val="32"/>
        </w:rPr>
        <w:t>工厂</w:t>
      </w:r>
      <w:r>
        <w:rPr>
          <w:szCs w:val="32"/>
        </w:rPr>
        <w:t>是指</w:t>
      </w:r>
      <w:r>
        <w:rPr>
          <w:rFonts w:hint="eastAsia"/>
          <w:szCs w:val="32"/>
        </w:rPr>
        <w:t>我</w:t>
      </w:r>
      <w:r>
        <w:rPr>
          <w:szCs w:val="32"/>
        </w:rPr>
        <w:t>市</w:t>
      </w:r>
      <w:r>
        <w:rPr>
          <w:rFonts w:hint="eastAsia"/>
          <w:szCs w:val="32"/>
        </w:rPr>
        <w:t>制造</w:t>
      </w:r>
      <w:r>
        <w:rPr>
          <w:szCs w:val="32"/>
        </w:rPr>
        <w:t>业企业已</w:t>
      </w:r>
      <w:r>
        <w:rPr>
          <w:rFonts w:hint="eastAsia"/>
          <w:szCs w:val="32"/>
        </w:rPr>
        <w:t>建成</w:t>
      </w:r>
      <w:r>
        <w:rPr>
          <w:szCs w:val="32"/>
        </w:rPr>
        <w:t>并正常运营的，</w:t>
      </w:r>
      <w:r>
        <w:rPr>
          <w:rFonts w:hint="eastAsia"/>
        </w:rPr>
        <w:t>基于全面互联、智能控制、安全可靠的工业互联网，广泛采用新一代信息技术和先进制造技术，综合运用设计生产、检验检测、仓储物流等智能装备、软件和控制系统，覆盖研发设计、生产制造、经营管理、供应链管理、运维服务等生产全流程、管理全方位和产品全生命周期，泛在连接、弹性供给、动态优化和高效配置制造资源，实现响应时间缩短、资源消耗减少、质量效益提升、产品全生命周期可追溯、运营成本降低、环境生态友好的新</w:t>
      </w:r>
      <w:r>
        <w:t>型</w:t>
      </w:r>
      <w:r>
        <w:rPr>
          <w:rFonts w:hint="eastAsia"/>
        </w:rPr>
        <w:t>工厂。</w:t>
      </w:r>
    </w:p>
    <w:p>
      <w:pPr>
        <w:ind w:firstLine="630"/>
        <w:rPr>
          <w:rFonts w:ascii="仿宋_GB2312" w:hAnsi="仿宋_GB2312" w:cs="仿宋_GB2312"/>
          <w:szCs w:val="32"/>
        </w:rPr>
      </w:pPr>
      <w:r>
        <w:rPr>
          <w:rFonts w:ascii="黑体" w:hAnsi="黑体" w:eastAsia="黑体" w:cs="黑体"/>
          <w:szCs w:val="32"/>
        </w:rPr>
        <w:t>第</w:t>
      </w:r>
      <w:r>
        <w:rPr>
          <w:rFonts w:hint="eastAsia" w:ascii="黑体" w:hAnsi="黑体" w:eastAsia="黑体" w:cs="黑体"/>
          <w:szCs w:val="32"/>
        </w:rPr>
        <w:t>四</w:t>
      </w:r>
      <w:r>
        <w:rPr>
          <w:rFonts w:ascii="黑体" w:hAnsi="黑体" w:eastAsia="黑体" w:cs="黑体"/>
          <w:szCs w:val="32"/>
        </w:rPr>
        <w:t>条</w:t>
      </w:r>
      <w:r>
        <w:rPr>
          <w:b/>
          <w:bCs/>
          <w:szCs w:val="32"/>
        </w:rPr>
        <w:t xml:space="preserve">  </w:t>
      </w:r>
      <w:r>
        <w:rPr>
          <w:rFonts w:hint="eastAsia"/>
          <w:szCs w:val="32"/>
        </w:rPr>
        <w:t>东莞</w:t>
      </w:r>
      <w:r>
        <w:rPr>
          <w:szCs w:val="32"/>
        </w:rPr>
        <w:t>市</w:t>
      </w:r>
      <w:r>
        <w:rPr>
          <w:rFonts w:hint="eastAsia"/>
          <w:szCs w:val="32"/>
        </w:rPr>
        <w:t>智能</w:t>
      </w:r>
      <w:r>
        <w:rPr>
          <w:szCs w:val="32"/>
        </w:rPr>
        <w:t>工厂的认定遵循企业自愿、择优确定和公开、公平、公正原则。</w:t>
      </w:r>
      <w:r>
        <w:rPr>
          <w:rFonts w:hint="eastAsia"/>
          <w:szCs w:val="32"/>
        </w:rPr>
        <w:t>智能</w:t>
      </w:r>
      <w:r>
        <w:rPr>
          <w:szCs w:val="32"/>
        </w:rPr>
        <w:t>工厂认定</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w:t>
      </w:r>
      <w:r>
        <w:rPr>
          <w:szCs w:val="32"/>
        </w:rPr>
        <w:t>工厂</w:t>
      </w:r>
      <w:r>
        <w:rPr>
          <w:rFonts w:hint="eastAsia"/>
          <w:szCs w:val="32"/>
        </w:rPr>
        <w:t>的申报</w:t>
      </w:r>
      <w:r>
        <w:rPr>
          <w:rFonts w:hint="eastAsia" w:ascii="仿宋_GB2312" w:hAnsi="仿宋_GB2312" w:cs="仿宋_GB2312"/>
          <w:szCs w:val="32"/>
        </w:rPr>
        <w:t>、指导和相关管理服务工作</w:t>
      </w:r>
      <w:r>
        <w:rPr>
          <w:szCs w:val="32"/>
        </w:rPr>
        <w:t>。</w:t>
      </w:r>
    </w:p>
    <w:p>
      <w:pPr>
        <w:spacing w:line="600" w:lineRule="exact"/>
        <w:ind w:firstLine="630"/>
        <w:rPr>
          <w:szCs w:val="32"/>
        </w:rPr>
      </w:pPr>
    </w:p>
    <w:p>
      <w:pPr>
        <w:spacing w:line="600" w:lineRule="exact"/>
        <w:ind w:firstLine="0" w:firstLineChars="0"/>
        <w:jc w:val="center"/>
        <w:rPr>
          <w:rFonts w:eastAsia="黑体"/>
          <w:szCs w:val="32"/>
        </w:rPr>
      </w:pPr>
      <w:r>
        <w:rPr>
          <w:rFonts w:hint="eastAsia" w:eastAsia="黑体"/>
          <w:szCs w:val="32"/>
        </w:rPr>
        <w:t>第</w:t>
      </w:r>
      <w:r>
        <w:rPr>
          <w:rFonts w:eastAsia="黑体"/>
          <w:szCs w:val="32"/>
        </w:rPr>
        <w:t>二章</w:t>
      </w:r>
      <w:r>
        <w:rPr>
          <w:rFonts w:hint="eastAsia" w:eastAsia="黑体"/>
          <w:szCs w:val="32"/>
        </w:rPr>
        <w:t xml:space="preserve"> 认</w:t>
      </w:r>
      <w:r>
        <w:rPr>
          <w:rFonts w:eastAsia="黑体"/>
          <w:szCs w:val="32"/>
        </w:rPr>
        <w:t>定条件</w:t>
      </w:r>
    </w:p>
    <w:p>
      <w:pPr>
        <w:spacing w:line="600" w:lineRule="exact"/>
        <w:ind w:firstLine="630"/>
        <w:rPr>
          <w:rFonts w:eastAsia="黑体"/>
          <w:szCs w:val="32"/>
        </w:rPr>
      </w:pPr>
    </w:p>
    <w:p>
      <w:pPr>
        <w:spacing w:line="600" w:lineRule="exact"/>
        <w:ind w:firstLine="630"/>
        <w:rPr>
          <w:szCs w:val="32"/>
        </w:rPr>
      </w:pPr>
      <w:r>
        <w:rPr>
          <w:rFonts w:ascii="黑体" w:hAnsi="黑体" w:eastAsia="黑体" w:cs="黑体"/>
          <w:szCs w:val="32"/>
        </w:rPr>
        <w:t>第</w:t>
      </w:r>
      <w:r>
        <w:rPr>
          <w:rFonts w:hint="eastAsia" w:ascii="黑体" w:hAnsi="黑体" w:eastAsia="黑体" w:cs="黑体"/>
          <w:szCs w:val="32"/>
        </w:rPr>
        <w:t>五</w:t>
      </w:r>
      <w:r>
        <w:rPr>
          <w:rFonts w:ascii="黑体" w:hAnsi="黑体" w:eastAsia="黑体" w:cs="黑体"/>
          <w:szCs w:val="32"/>
        </w:rPr>
        <w:t>条</w:t>
      </w:r>
      <w:r>
        <w:rPr>
          <w:b/>
          <w:bCs/>
          <w:szCs w:val="32"/>
        </w:rPr>
        <w:t xml:space="preserve">  </w:t>
      </w:r>
      <w:r>
        <w:rPr>
          <w:szCs w:val="32"/>
        </w:rPr>
        <w:t>企业申请</w:t>
      </w:r>
      <w:r>
        <w:rPr>
          <w:rFonts w:hint="eastAsia"/>
          <w:szCs w:val="32"/>
        </w:rPr>
        <w:t>智能</w:t>
      </w:r>
      <w:r>
        <w:rPr>
          <w:szCs w:val="32"/>
        </w:rPr>
        <w:t>工厂认定应具备以下基本条件：</w:t>
      </w:r>
    </w:p>
    <w:p>
      <w:pPr>
        <w:spacing w:line="600" w:lineRule="exact"/>
        <w:ind w:firstLine="630"/>
        <w:rPr>
          <w:szCs w:val="32"/>
        </w:rPr>
      </w:pPr>
      <w:r>
        <w:rPr>
          <w:rFonts w:hint="eastAsia" w:ascii="楷体_GB2312" w:hAnsi="楷体_GB2312" w:eastAsia="楷体_GB2312" w:cs="楷体_GB2312"/>
          <w:szCs w:val="32"/>
        </w:rPr>
        <w:t>（一）</w:t>
      </w:r>
      <w:r>
        <w:rPr>
          <w:szCs w:val="32"/>
        </w:rPr>
        <w:t>在我市行政区域内注册，具有独立法人资格</w:t>
      </w:r>
      <w:r>
        <w:rPr>
          <w:rFonts w:hint="eastAsia" w:ascii="仿宋_GB2312" w:hAnsi="仿宋_GB2312" w:cs="仿宋_GB2312"/>
          <w:szCs w:val="32"/>
        </w:rPr>
        <w:t>且正常经营三年以上，</w:t>
      </w:r>
      <w:r>
        <w:rPr>
          <w:szCs w:val="32"/>
        </w:rPr>
        <w:t>遵守国家法律法规，认真履行社会责任，财务管理制度健全规范；</w:t>
      </w:r>
    </w:p>
    <w:p>
      <w:pPr>
        <w:spacing w:line="600" w:lineRule="exact"/>
        <w:ind w:firstLine="63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pPr>
        <w:ind w:firstLine="630"/>
        <w:rPr>
          <w:rFonts w:ascii="仿宋_GB2312" w:hAnsi="仿宋_GB2312" w:cs="仿宋_GB2312"/>
          <w:szCs w:val="32"/>
        </w:rPr>
      </w:pPr>
      <w:r>
        <w:rPr>
          <w:rFonts w:hint="eastAsia" w:ascii="仿宋_GB2312" w:hAnsi="仿宋_GB2312" w:cs="仿宋_GB2312"/>
          <w:szCs w:val="32"/>
        </w:rPr>
        <w:t>（三）企业主导产品（技术）符合国家产业政策和行业政策导向；</w:t>
      </w:r>
    </w:p>
    <w:p>
      <w:pPr>
        <w:spacing w:line="600" w:lineRule="exact"/>
        <w:ind w:firstLine="630"/>
        <w:rPr>
          <w:szCs w:val="32"/>
        </w:rPr>
      </w:pPr>
      <w:r>
        <w:rPr>
          <w:rFonts w:hint="eastAsia"/>
          <w:szCs w:val="32"/>
        </w:rPr>
        <w:t>（四</w:t>
      </w:r>
      <w:r>
        <w:rPr>
          <w:szCs w:val="32"/>
        </w:rPr>
        <w:t>）</w:t>
      </w:r>
      <w:r>
        <w:rPr>
          <w:rFonts w:hint="eastAsia"/>
          <w:szCs w:val="32"/>
        </w:rPr>
        <w:t>企业</w:t>
      </w:r>
      <w:r>
        <w:rPr>
          <w:szCs w:val="32"/>
        </w:rPr>
        <w:t>上一年度营</w:t>
      </w:r>
      <w:r>
        <w:rPr>
          <w:rFonts w:hint="eastAsia"/>
          <w:szCs w:val="32"/>
        </w:rPr>
        <w:t>业</w:t>
      </w:r>
      <w:r>
        <w:rPr>
          <w:szCs w:val="32"/>
        </w:rPr>
        <w:t>收入不低于</w:t>
      </w:r>
      <w:r>
        <w:rPr>
          <w:rFonts w:hint="eastAsia"/>
          <w:szCs w:val="32"/>
        </w:rPr>
        <w:t>2亿</w:t>
      </w:r>
      <w:r>
        <w:rPr>
          <w:szCs w:val="32"/>
        </w:rPr>
        <w:t>元</w:t>
      </w:r>
      <w:r>
        <w:rPr>
          <w:rFonts w:hint="eastAsia"/>
          <w:szCs w:val="32"/>
        </w:rPr>
        <w:t>，</w:t>
      </w:r>
      <w:r>
        <w:rPr>
          <w:szCs w:val="32"/>
        </w:rPr>
        <w:t>其中</w:t>
      </w:r>
      <w:r>
        <w:rPr>
          <w:rFonts w:hint="eastAsia"/>
          <w:szCs w:val="32"/>
        </w:rPr>
        <w:t>新</w:t>
      </w:r>
      <w:r>
        <w:rPr>
          <w:szCs w:val="32"/>
        </w:rPr>
        <w:t>一代电子信息</w:t>
      </w:r>
      <w:r>
        <w:rPr>
          <w:rFonts w:hint="eastAsia"/>
          <w:szCs w:val="32"/>
        </w:rPr>
        <w:t>产</w:t>
      </w:r>
      <w:r>
        <w:rPr>
          <w:szCs w:val="32"/>
        </w:rPr>
        <w:t>业</w:t>
      </w:r>
      <w:r>
        <w:rPr>
          <w:rFonts w:hint="eastAsia"/>
          <w:szCs w:val="32"/>
        </w:rPr>
        <w:t>、</w:t>
      </w:r>
      <w:r>
        <w:rPr>
          <w:szCs w:val="32"/>
        </w:rPr>
        <w:t>高端装备</w:t>
      </w:r>
      <w:r>
        <w:rPr>
          <w:rFonts w:hint="eastAsia"/>
          <w:szCs w:val="32"/>
        </w:rPr>
        <w:t>产</w:t>
      </w:r>
      <w:r>
        <w:rPr>
          <w:szCs w:val="32"/>
        </w:rPr>
        <w:t>业企业上一年度营</w:t>
      </w:r>
      <w:r>
        <w:rPr>
          <w:rFonts w:hint="eastAsia"/>
          <w:szCs w:val="32"/>
        </w:rPr>
        <w:t>业</w:t>
      </w:r>
      <w:r>
        <w:rPr>
          <w:szCs w:val="32"/>
        </w:rPr>
        <w:t>收入不低于</w:t>
      </w:r>
      <w:r>
        <w:rPr>
          <w:rFonts w:hint="eastAsia"/>
          <w:szCs w:val="32"/>
        </w:rPr>
        <w:t>5亿</w:t>
      </w:r>
      <w:r>
        <w:rPr>
          <w:szCs w:val="32"/>
        </w:rPr>
        <w:t>元</w:t>
      </w:r>
      <w:r>
        <w:rPr>
          <w:rFonts w:hint="eastAsia"/>
          <w:szCs w:val="32"/>
        </w:rPr>
        <w:t>；</w:t>
      </w:r>
    </w:p>
    <w:p>
      <w:pPr>
        <w:spacing w:line="600" w:lineRule="exact"/>
        <w:ind w:firstLine="630"/>
        <w:rPr>
          <w:szCs w:val="32"/>
        </w:rPr>
      </w:pPr>
      <w:r>
        <w:rPr>
          <w:rFonts w:hint="eastAsia"/>
          <w:szCs w:val="32"/>
        </w:rPr>
        <w:t>（五</w:t>
      </w:r>
      <w:r>
        <w:rPr>
          <w:szCs w:val="32"/>
        </w:rPr>
        <w:t>）</w:t>
      </w:r>
      <w:r>
        <w:rPr>
          <w:rFonts w:hint="eastAsia"/>
          <w:szCs w:val="32"/>
        </w:rPr>
        <w:t>近</w:t>
      </w:r>
      <w:r>
        <w:rPr>
          <w:szCs w:val="32"/>
        </w:rPr>
        <w:t>三年</w:t>
      </w:r>
      <w:r>
        <w:rPr>
          <w:rFonts w:hint="eastAsia"/>
          <w:szCs w:val="32"/>
        </w:rPr>
        <w:t>智能</w:t>
      </w:r>
      <w:r>
        <w:rPr>
          <w:szCs w:val="32"/>
        </w:rPr>
        <w:t>装备、</w:t>
      </w:r>
      <w:r>
        <w:rPr>
          <w:rFonts w:hint="eastAsia"/>
          <w:szCs w:val="32"/>
        </w:rPr>
        <w:t>自动</w:t>
      </w:r>
      <w:r>
        <w:rPr>
          <w:szCs w:val="32"/>
        </w:rPr>
        <w:t>化系统和软件累</w:t>
      </w:r>
      <w:r>
        <w:rPr>
          <w:rFonts w:hint="eastAsia"/>
          <w:szCs w:val="32"/>
        </w:rPr>
        <w:t>计</w:t>
      </w:r>
      <w:r>
        <w:rPr>
          <w:szCs w:val="32"/>
        </w:rPr>
        <w:t>投入不</w:t>
      </w:r>
      <w:r>
        <w:rPr>
          <w:rFonts w:hint="eastAsia"/>
          <w:szCs w:val="32"/>
        </w:rPr>
        <w:t>低</w:t>
      </w:r>
      <w:r>
        <w:rPr>
          <w:szCs w:val="32"/>
        </w:rPr>
        <w:t>于4000</w:t>
      </w:r>
      <w:r>
        <w:rPr>
          <w:rFonts w:hint="eastAsia"/>
          <w:szCs w:val="32"/>
        </w:rPr>
        <w:t>万</w:t>
      </w:r>
      <w:r>
        <w:rPr>
          <w:szCs w:val="32"/>
        </w:rPr>
        <w:t>元</w:t>
      </w:r>
      <w:r>
        <w:rPr>
          <w:rFonts w:hint="eastAsia"/>
          <w:szCs w:val="32"/>
        </w:rPr>
        <w:t>，</w:t>
      </w:r>
      <w:r>
        <w:rPr>
          <w:szCs w:val="32"/>
        </w:rPr>
        <w:t>其中</w:t>
      </w:r>
      <w:r>
        <w:rPr>
          <w:rFonts w:hint="eastAsia"/>
          <w:szCs w:val="32"/>
        </w:rPr>
        <w:t>未获得</w:t>
      </w:r>
      <w:r>
        <w:rPr>
          <w:szCs w:val="32"/>
        </w:rPr>
        <w:t>市工业和信息化局资助的投入不</w:t>
      </w:r>
      <w:r>
        <w:rPr>
          <w:rFonts w:hint="eastAsia"/>
          <w:szCs w:val="32"/>
        </w:rPr>
        <w:t>低</w:t>
      </w:r>
      <w:r>
        <w:rPr>
          <w:szCs w:val="32"/>
        </w:rPr>
        <w:t>于</w:t>
      </w:r>
      <w:r>
        <w:rPr>
          <w:rFonts w:hint="eastAsia"/>
          <w:szCs w:val="32"/>
        </w:rPr>
        <w:t>1000万</w:t>
      </w:r>
      <w:r>
        <w:rPr>
          <w:szCs w:val="32"/>
        </w:rPr>
        <w:t>元</w:t>
      </w:r>
      <w:r>
        <w:rPr>
          <w:rFonts w:hint="eastAsia"/>
          <w:szCs w:val="32"/>
        </w:rPr>
        <w:t>；</w:t>
      </w:r>
    </w:p>
    <w:p>
      <w:pPr>
        <w:spacing w:line="600" w:lineRule="exact"/>
        <w:ind w:firstLine="630"/>
        <w:rPr>
          <w:szCs w:val="32"/>
        </w:rPr>
      </w:pPr>
      <w:r>
        <w:rPr>
          <w:rFonts w:hint="eastAsia" w:ascii="黑体" w:hAnsi="黑体" w:eastAsia="黑体"/>
          <w:szCs w:val="32"/>
        </w:rPr>
        <w:t>第六</w:t>
      </w:r>
      <w:r>
        <w:rPr>
          <w:rFonts w:ascii="黑体" w:hAnsi="黑体" w:eastAsia="黑体"/>
          <w:szCs w:val="32"/>
        </w:rPr>
        <w:t>条</w:t>
      </w:r>
      <w:r>
        <w:rPr>
          <w:rFonts w:hint="eastAsia"/>
          <w:szCs w:val="32"/>
        </w:rPr>
        <w:t xml:space="preserve"> </w:t>
      </w:r>
      <w:r>
        <w:rPr>
          <w:szCs w:val="32"/>
        </w:rPr>
        <w:t xml:space="preserve"> 企业申请</w:t>
      </w:r>
      <w:r>
        <w:rPr>
          <w:rFonts w:hint="eastAsia"/>
          <w:szCs w:val="32"/>
        </w:rPr>
        <w:t>智能</w:t>
      </w:r>
      <w:r>
        <w:rPr>
          <w:szCs w:val="32"/>
        </w:rPr>
        <w:t>工厂</w:t>
      </w:r>
      <w:r>
        <w:rPr>
          <w:rFonts w:hint="eastAsia"/>
          <w:szCs w:val="32"/>
        </w:rPr>
        <w:t>除符合</w:t>
      </w:r>
      <w:r>
        <w:rPr>
          <w:szCs w:val="32"/>
        </w:rPr>
        <w:t>上述基本条件外，应需</w:t>
      </w:r>
      <w:r>
        <w:rPr>
          <w:rFonts w:hint="eastAsia"/>
          <w:szCs w:val="32"/>
        </w:rPr>
        <w:t>满足</w:t>
      </w:r>
      <w:r>
        <w:rPr>
          <w:szCs w:val="32"/>
        </w:rPr>
        <w:t>以下要求：</w:t>
      </w:r>
    </w:p>
    <w:p>
      <w:pPr>
        <w:spacing w:line="600" w:lineRule="exact"/>
        <w:ind w:firstLine="630"/>
        <w:rPr>
          <w:szCs w:val="32"/>
        </w:rPr>
      </w:pPr>
      <w:r>
        <w:rPr>
          <w:rFonts w:hint="eastAsia"/>
          <w:szCs w:val="32"/>
        </w:rPr>
        <w:t>（一</w:t>
      </w:r>
      <w:r>
        <w:rPr>
          <w:szCs w:val="32"/>
        </w:rPr>
        <w:t>）</w:t>
      </w:r>
      <w:r>
        <w:rPr>
          <w:rFonts w:hint="eastAsia"/>
          <w:szCs w:val="32"/>
        </w:rPr>
        <w:t>设备</w:t>
      </w:r>
      <w:r>
        <w:rPr>
          <w:szCs w:val="32"/>
        </w:rPr>
        <w:t>互联互通，数字化装备数量占生产装备总数</w:t>
      </w:r>
      <w:r>
        <w:rPr>
          <w:rFonts w:hint="eastAsia"/>
          <w:szCs w:val="32"/>
        </w:rPr>
        <w:t>量</w:t>
      </w:r>
      <w:r>
        <w:rPr>
          <w:szCs w:val="32"/>
        </w:rPr>
        <w:t>的</w:t>
      </w:r>
      <w:r>
        <w:rPr>
          <w:rFonts w:hint="eastAsia"/>
          <w:szCs w:val="32"/>
        </w:rPr>
        <w:t>比例</w:t>
      </w:r>
      <w:r>
        <w:rPr>
          <w:szCs w:val="32"/>
        </w:rPr>
        <w:t>不低于</w:t>
      </w:r>
      <w:r>
        <w:rPr>
          <w:rFonts w:hint="eastAsia"/>
          <w:szCs w:val="32"/>
        </w:rPr>
        <w:t>60%，</w:t>
      </w:r>
      <w:r>
        <w:rPr>
          <w:szCs w:val="32"/>
        </w:rPr>
        <w:t>数控设备</w:t>
      </w:r>
      <w:r>
        <w:rPr>
          <w:rFonts w:hint="eastAsia"/>
          <w:szCs w:val="32"/>
        </w:rPr>
        <w:t>联</w:t>
      </w:r>
      <w:r>
        <w:rPr>
          <w:szCs w:val="32"/>
        </w:rPr>
        <w:t>网率不</w:t>
      </w:r>
      <w:r>
        <w:rPr>
          <w:rFonts w:hint="eastAsia"/>
          <w:szCs w:val="32"/>
        </w:rPr>
        <w:t>低</w:t>
      </w:r>
      <w:r>
        <w:rPr>
          <w:szCs w:val="32"/>
        </w:rPr>
        <w:t>于</w:t>
      </w:r>
      <w:r>
        <w:rPr>
          <w:rFonts w:hint="eastAsia"/>
          <w:szCs w:val="32"/>
        </w:rPr>
        <w:t>60%；</w:t>
      </w:r>
    </w:p>
    <w:p>
      <w:pPr>
        <w:spacing w:line="600" w:lineRule="exact"/>
        <w:ind w:firstLine="630"/>
        <w:rPr>
          <w:szCs w:val="32"/>
        </w:rPr>
      </w:pPr>
      <w:r>
        <w:rPr>
          <w:rFonts w:hint="eastAsia"/>
          <w:szCs w:val="32"/>
        </w:rPr>
        <w:t>（二</w:t>
      </w:r>
      <w:r>
        <w:rPr>
          <w:szCs w:val="32"/>
        </w:rPr>
        <w:t>）</w:t>
      </w:r>
      <w:r>
        <w:rPr>
          <w:rFonts w:hint="eastAsia"/>
          <w:szCs w:val="32"/>
        </w:rPr>
        <w:t>制定企业数字</w:t>
      </w:r>
      <w:r>
        <w:rPr>
          <w:szCs w:val="32"/>
        </w:rPr>
        <w:t>化发展规划和具体推进措施</w:t>
      </w:r>
      <w:r>
        <w:rPr>
          <w:rFonts w:hint="eastAsia"/>
          <w:szCs w:val="32"/>
        </w:rPr>
        <w:t>，</w:t>
      </w:r>
      <w:r>
        <w:rPr>
          <w:szCs w:val="32"/>
        </w:rPr>
        <w:t>建</w:t>
      </w:r>
      <w:r>
        <w:rPr>
          <w:rFonts w:hint="eastAsia"/>
          <w:szCs w:val="32"/>
        </w:rPr>
        <w:t>立</w:t>
      </w:r>
      <w:r>
        <w:rPr>
          <w:szCs w:val="32"/>
        </w:rPr>
        <w:t>数字化</w:t>
      </w:r>
      <w:r>
        <w:rPr>
          <w:rFonts w:hint="eastAsia"/>
          <w:szCs w:val="32"/>
        </w:rPr>
        <w:t>转型</w:t>
      </w:r>
      <w:r>
        <w:rPr>
          <w:szCs w:val="32"/>
        </w:rPr>
        <w:t>实施机构</w:t>
      </w:r>
      <w:r>
        <w:rPr>
          <w:rFonts w:hint="eastAsia"/>
          <w:szCs w:val="32"/>
        </w:rPr>
        <w:t>；</w:t>
      </w:r>
    </w:p>
    <w:p>
      <w:pPr>
        <w:spacing w:line="600" w:lineRule="exact"/>
        <w:ind w:firstLine="630"/>
        <w:rPr>
          <w:szCs w:val="32"/>
        </w:rPr>
      </w:pPr>
      <w:r>
        <w:rPr>
          <w:rFonts w:hint="eastAsia"/>
          <w:szCs w:val="32"/>
        </w:rPr>
        <w:t>（三</w:t>
      </w:r>
      <w:r>
        <w:rPr>
          <w:szCs w:val="32"/>
        </w:rPr>
        <w:t>）</w:t>
      </w:r>
      <w:r>
        <w:rPr>
          <w:rFonts w:hint="eastAsia"/>
          <w:szCs w:val="32"/>
        </w:rPr>
        <w:t>在</w:t>
      </w:r>
      <w:r>
        <w:rPr>
          <w:rFonts w:hint="eastAsia"/>
        </w:rPr>
        <w:t>研发设计、生产制造、经营管理、供应链管理、运维服务</w:t>
      </w:r>
      <w:r>
        <w:rPr>
          <w:rFonts w:hint="eastAsia"/>
          <w:szCs w:val="32"/>
        </w:rPr>
        <w:t>等一</w:t>
      </w:r>
      <w:r>
        <w:rPr>
          <w:szCs w:val="32"/>
        </w:rPr>
        <w:t>个以上环节</w:t>
      </w:r>
      <w:r>
        <w:rPr>
          <w:rFonts w:hint="eastAsia"/>
          <w:szCs w:val="32"/>
        </w:rPr>
        <w:t>实施网</w:t>
      </w:r>
      <w:r>
        <w:rPr>
          <w:szCs w:val="32"/>
        </w:rPr>
        <w:t>络化、数字</w:t>
      </w:r>
      <w:r>
        <w:rPr>
          <w:rFonts w:hint="eastAsia"/>
          <w:szCs w:val="32"/>
        </w:rPr>
        <w:t>化</w:t>
      </w:r>
      <w:r>
        <w:rPr>
          <w:szCs w:val="32"/>
        </w:rPr>
        <w:t>、智能化</w:t>
      </w:r>
      <w:r>
        <w:rPr>
          <w:rFonts w:hint="eastAsia"/>
          <w:szCs w:val="32"/>
        </w:rPr>
        <w:t>改造提升</w:t>
      </w:r>
      <w:r>
        <w:rPr>
          <w:szCs w:val="32"/>
        </w:rPr>
        <w:t>，在同行业</w:t>
      </w:r>
      <w:r>
        <w:rPr>
          <w:rFonts w:hint="eastAsia"/>
          <w:szCs w:val="32"/>
        </w:rPr>
        <w:t>处领先</w:t>
      </w:r>
      <w:r>
        <w:rPr>
          <w:szCs w:val="32"/>
        </w:rPr>
        <w:t>水平</w:t>
      </w:r>
      <w:r>
        <w:rPr>
          <w:rFonts w:hint="eastAsia"/>
          <w:szCs w:val="32"/>
        </w:rPr>
        <w:t>。</w:t>
      </w:r>
    </w:p>
    <w:p>
      <w:pPr>
        <w:spacing w:line="600" w:lineRule="exact"/>
        <w:ind w:firstLine="630"/>
        <w:rPr>
          <w:szCs w:val="32"/>
        </w:rPr>
      </w:pPr>
      <w:r>
        <w:rPr>
          <w:rFonts w:hint="eastAsia"/>
          <w:szCs w:val="32"/>
        </w:rPr>
        <w:t>（四</w:t>
      </w:r>
      <w:r>
        <w:rPr>
          <w:szCs w:val="32"/>
        </w:rPr>
        <w:t>）</w:t>
      </w:r>
      <w:r>
        <w:rPr>
          <w:rFonts w:hint="eastAsia"/>
          <w:szCs w:val="32"/>
        </w:rPr>
        <w:t>通过</w:t>
      </w:r>
      <w:r>
        <w:rPr>
          <w:szCs w:val="32"/>
        </w:rPr>
        <w:t>数字化转型实施，在</w:t>
      </w:r>
      <w:r>
        <w:rPr>
          <w:rFonts w:hint="eastAsia"/>
          <w:szCs w:val="32"/>
        </w:rPr>
        <w:t>缩短</w:t>
      </w:r>
      <w:r>
        <w:rPr>
          <w:szCs w:val="32"/>
        </w:rPr>
        <w:t>产品研发周期、提高劳动生产率、降低运维成本、</w:t>
      </w:r>
      <w:r>
        <w:rPr>
          <w:rFonts w:hint="eastAsia"/>
          <w:szCs w:val="32"/>
        </w:rPr>
        <w:t>降</w:t>
      </w:r>
      <w:r>
        <w:rPr>
          <w:szCs w:val="32"/>
        </w:rPr>
        <w:t>低产品</w:t>
      </w:r>
      <w:r>
        <w:rPr>
          <w:rFonts w:hint="eastAsia"/>
          <w:szCs w:val="32"/>
        </w:rPr>
        <w:t>不</w:t>
      </w:r>
      <w:r>
        <w:rPr>
          <w:szCs w:val="32"/>
        </w:rPr>
        <w:t>良率</w:t>
      </w:r>
      <w:r>
        <w:rPr>
          <w:rFonts w:hint="eastAsia"/>
          <w:szCs w:val="32"/>
        </w:rPr>
        <w:t>等</w:t>
      </w:r>
      <w:r>
        <w:rPr>
          <w:szCs w:val="32"/>
        </w:rPr>
        <w:t>方面取得显著效果</w:t>
      </w:r>
      <w:r>
        <w:rPr>
          <w:rFonts w:hint="eastAsia"/>
          <w:szCs w:val="32"/>
        </w:rPr>
        <w:t>，数字</w:t>
      </w:r>
      <w:r>
        <w:rPr>
          <w:szCs w:val="32"/>
        </w:rPr>
        <w:t>化</w:t>
      </w:r>
      <w:r>
        <w:rPr>
          <w:rFonts w:hint="eastAsia"/>
          <w:szCs w:val="32"/>
        </w:rPr>
        <w:t>转型</w:t>
      </w:r>
      <w:r>
        <w:rPr>
          <w:szCs w:val="32"/>
        </w:rPr>
        <w:t>实践模式具有可复制性、易推广性，具有示范带动作用</w:t>
      </w:r>
      <w:r>
        <w:rPr>
          <w:rFonts w:hint="eastAsia"/>
          <w:szCs w:val="32"/>
        </w:rPr>
        <w:t>；</w:t>
      </w:r>
    </w:p>
    <w:p>
      <w:pPr>
        <w:spacing w:line="600" w:lineRule="exact"/>
        <w:ind w:firstLine="630"/>
        <w:rPr>
          <w:szCs w:val="32"/>
        </w:rPr>
      </w:pPr>
      <w:r>
        <w:rPr>
          <w:rFonts w:hint="eastAsia"/>
          <w:szCs w:val="32"/>
        </w:rPr>
        <w:t>（五</w:t>
      </w:r>
      <w:r>
        <w:rPr>
          <w:szCs w:val="32"/>
        </w:rPr>
        <w:t>）</w:t>
      </w:r>
      <w:r>
        <w:rPr>
          <w:rFonts w:hint="eastAsia"/>
          <w:szCs w:val="32"/>
        </w:rPr>
        <w:t>近</w:t>
      </w:r>
      <w:r>
        <w:rPr>
          <w:szCs w:val="32"/>
        </w:rPr>
        <w:t>三年</w:t>
      </w:r>
      <w:r>
        <w:rPr>
          <w:rFonts w:hint="eastAsia"/>
          <w:szCs w:val="32"/>
        </w:rPr>
        <w:t>通过</w:t>
      </w:r>
      <w:r>
        <w:rPr>
          <w:szCs w:val="32"/>
        </w:rPr>
        <w:t>国家两化融合管理体</w:t>
      </w:r>
      <w:r>
        <w:rPr>
          <w:rFonts w:hint="eastAsia"/>
          <w:szCs w:val="32"/>
        </w:rPr>
        <w:t>系</w:t>
      </w:r>
      <w:r>
        <w:rPr>
          <w:szCs w:val="32"/>
        </w:rPr>
        <w:t>贯标认定</w:t>
      </w:r>
      <w:r>
        <w:rPr>
          <w:rFonts w:hint="eastAsia"/>
          <w:szCs w:val="32"/>
        </w:rPr>
        <w:t>或曾获</w:t>
      </w:r>
      <w:r>
        <w:rPr>
          <w:szCs w:val="32"/>
        </w:rPr>
        <w:t>市工业和信</w:t>
      </w:r>
      <w:r>
        <w:rPr>
          <w:rFonts w:hint="eastAsia"/>
          <w:szCs w:val="32"/>
        </w:rPr>
        <w:t>息</w:t>
      </w:r>
      <w:r>
        <w:rPr>
          <w:szCs w:val="32"/>
        </w:rPr>
        <w:t>化局</w:t>
      </w:r>
      <w:r>
        <w:rPr>
          <w:rFonts w:hint="eastAsia"/>
          <w:szCs w:val="32"/>
        </w:rPr>
        <w:t>专项</w:t>
      </w:r>
      <w:r>
        <w:rPr>
          <w:szCs w:val="32"/>
        </w:rPr>
        <w:t>资金</w:t>
      </w:r>
      <w:r>
        <w:rPr>
          <w:rFonts w:hint="eastAsia"/>
          <w:szCs w:val="32"/>
        </w:rPr>
        <w:t>资助、</w:t>
      </w:r>
      <w:r>
        <w:rPr>
          <w:szCs w:val="32"/>
        </w:rPr>
        <w:t>项目认定的，同等条件下优先支持</w:t>
      </w:r>
      <w:r>
        <w:rPr>
          <w:rFonts w:hint="eastAsia"/>
          <w:szCs w:val="32"/>
        </w:rPr>
        <w:t>；</w:t>
      </w:r>
    </w:p>
    <w:p>
      <w:pPr>
        <w:spacing w:line="600" w:lineRule="exact"/>
        <w:ind w:firstLine="630"/>
        <w:rPr>
          <w:szCs w:val="32"/>
        </w:rPr>
      </w:pPr>
      <w:r>
        <w:rPr>
          <w:szCs w:val="32"/>
        </w:rPr>
        <w:t>（</w:t>
      </w:r>
      <w:r>
        <w:rPr>
          <w:rFonts w:hint="eastAsia"/>
          <w:szCs w:val="32"/>
        </w:rPr>
        <w:t>六</w:t>
      </w:r>
      <w:r>
        <w:rPr>
          <w:szCs w:val="32"/>
        </w:rPr>
        <w:t>）以上条件具体要求在</w:t>
      </w:r>
      <w:r>
        <w:rPr>
          <w:rFonts w:hint="eastAsia"/>
          <w:szCs w:val="32"/>
        </w:rPr>
        <w:t>智能</w:t>
      </w:r>
      <w:r>
        <w:rPr>
          <w:szCs w:val="32"/>
        </w:rPr>
        <w:t>工厂认定通知中明确。</w:t>
      </w:r>
    </w:p>
    <w:p>
      <w:pPr>
        <w:spacing w:line="600" w:lineRule="exact"/>
        <w:ind w:firstLine="630"/>
        <w:rPr>
          <w:szCs w:val="32"/>
        </w:rPr>
      </w:pPr>
      <w:r>
        <w:rPr>
          <w:rFonts w:hint="eastAsia" w:ascii="黑体" w:hAnsi="黑体" w:eastAsia="黑体" w:cs="黑体"/>
          <w:szCs w:val="32"/>
        </w:rPr>
        <w:t>第七</w:t>
      </w:r>
      <w:r>
        <w:rPr>
          <w:rFonts w:ascii="黑体" w:hAnsi="黑体" w:eastAsia="黑体" w:cs="黑体"/>
          <w:szCs w:val="32"/>
        </w:rPr>
        <w:t>条</w:t>
      </w:r>
      <w:r>
        <w:rPr>
          <w:rFonts w:hint="eastAsia"/>
          <w:szCs w:val="32"/>
        </w:rPr>
        <w:t xml:space="preserve">  已被</w:t>
      </w:r>
      <w:r>
        <w:rPr>
          <w:szCs w:val="32"/>
        </w:rPr>
        <w:t>认定为东莞市智能工厂的</w:t>
      </w:r>
      <w:r>
        <w:rPr>
          <w:rFonts w:hint="eastAsia"/>
          <w:szCs w:val="32"/>
        </w:rPr>
        <w:t>企业</w:t>
      </w:r>
      <w:r>
        <w:rPr>
          <w:szCs w:val="32"/>
        </w:rPr>
        <w:t>不得重复申报。</w:t>
      </w:r>
    </w:p>
    <w:p>
      <w:pPr>
        <w:pStyle w:val="4"/>
        <w:ind w:firstLine="630"/>
      </w:pPr>
    </w:p>
    <w:p>
      <w:pPr>
        <w:spacing w:line="600" w:lineRule="exact"/>
        <w:ind w:firstLine="0" w:firstLineChars="0"/>
        <w:jc w:val="center"/>
        <w:rPr>
          <w:rFonts w:eastAsia="黑体"/>
          <w:szCs w:val="32"/>
        </w:rPr>
      </w:pPr>
      <w:r>
        <w:rPr>
          <w:rFonts w:hint="eastAsia" w:eastAsia="黑体"/>
          <w:szCs w:val="32"/>
        </w:rPr>
        <w:t>第</w:t>
      </w:r>
      <w:r>
        <w:rPr>
          <w:rFonts w:eastAsia="黑体"/>
          <w:szCs w:val="32"/>
        </w:rPr>
        <w:t>三章 认定程序</w:t>
      </w:r>
    </w:p>
    <w:p>
      <w:pPr>
        <w:spacing w:line="600" w:lineRule="exact"/>
        <w:ind w:firstLine="630"/>
        <w:rPr>
          <w:rFonts w:eastAsia="黑体"/>
          <w:szCs w:val="32"/>
        </w:rPr>
      </w:pPr>
    </w:p>
    <w:p>
      <w:pPr>
        <w:widowControl/>
        <w:spacing w:line="600" w:lineRule="exact"/>
        <w:ind w:firstLine="630"/>
        <w:rPr>
          <w:kern w:val="0"/>
          <w:szCs w:val="32"/>
        </w:rPr>
      </w:pPr>
      <w:r>
        <w:rPr>
          <w:rFonts w:ascii="黑体" w:hAnsi="黑体" w:eastAsia="黑体" w:cs="黑体"/>
          <w:szCs w:val="32"/>
        </w:rPr>
        <w:t>第</w:t>
      </w:r>
      <w:r>
        <w:rPr>
          <w:rFonts w:hint="eastAsia" w:ascii="黑体" w:hAnsi="黑体" w:eastAsia="黑体" w:cs="黑体"/>
          <w:szCs w:val="32"/>
        </w:rPr>
        <w:t>八</w:t>
      </w:r>
      <w:r>
        <w:rPr>
          <w:rFonts w:ascii="黑体" w:hAnsi="黑体" w:eastAsia="黑体" w:cs="黑体"/>
          <w:szCs w:val="32"/>
        </w:rPr>
        <w:t>条</w:t>
      </w:r>
      <w:r>
        <w:rPr>
          <w:b/>
          <w:bCs/>
          <w:szCs w:val="32"/>
        </w:rPr>
        <w:t xml:space="preserve">  </w:t>
      </w:r>
      <w:r>
        <w:rPr>
          <w:kern w:val="0"/>
          <w:szCs w:val="32"/>
        </w:rPr>
        <w:t>具体申报和认定流程如下：</w:t>
      </w:r>
    </w:p>
    <w:p>
      <w:pPr>
        <w:widowControl/>
        <w:spacing w:line="600" w:lineRule="exact"/>
        <w:ind w:firstLine="630"/>
        <w:rPr>
          <w:szCs w:val="32"/>
        </w:rPr>
      </w:pPr>
      <w:r>
        <w:rPr>
          <w:rFonts w:hint="eastAsia" w:ascii="楷体_GB2312" w:hAnsi="楷体_GB2312" w:eastAsia="楷体_GB2312" w:cs="楷体_GB2312"/>
          <w:szCs w:val="32"/>
        </w:rPr>
        <w:t>（一）申请。</w:t>
      </w:r>
      <w:r>
        <w:rPr>
          <w:kern w:val="0"/>
          <w:szCs w:val="32"/>
        </w:rPr>
        <w:t>市工业和信息化局</w:t>
      </w:r>
      <w:r>
        <w:rPr>
          <w:szCs w:val="32"/>
        </w:rPr>
        <w:t>印发认定通知，</w:t>
      </w:r>
      <w:r>
        <w:rPr>
          <w:rFonts w:hint="eastAsia"/>
          <w:szCs w:val="32"/>
        </w:rPr>
        <w:t>提</w:t>
      </w:r>
      <w:r>
        <w:rPr>
          <w:szCs w:val="32"/>
        </w:rPr>
        <w:t>出具体申报要求。企业</w:t>
      </w:r>
      <w:r>
        <w:rPr>
          <w:rFonts w:hint="eastAsia"/>
          <w:szCs w:val="32"/>
        </w:rPr>
        <w:t>对照</w:t>
      </w:r>
      <w:r>
        <w:rPr>
          <w:szCs w:val="32"/>
        </w:rPr>
        <w:t>申报通知，按照自愿申</w:t>
      </w:r>
      <w:r>
        <w:rPr>
          <w:rFonts w:hint="eastAsia"/>
          <w:szCs w:val="32"/>
        </w:rPr>
        <w:t>报</w:t>
      </w:r>
      <w:r>
        <w:rPr>
          <w:szCs w:val="32"/>
        </w:rPr>
        <w:t>原则，向市工业和信息化局提交相关申报材料；</w:t>
      </w:r>
    </w:p>
    <w:p>
      <w:pPr>
        <w:spacing w:line="600" w:lineRule="exact"/>
        <w:ind w:firstLine="630"/>
        <w:rPr>
          <w:szCs w:val="32"/>
        </w:rPr>
      </w:pPr>
      <w:r>
        <w:rPr>
          <w:rFonts w:ascii="楷体_GB2312" w:hAnsi="楷体_GB2312" w:eastAsia="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就申报单位是否存在不适宜认定或资金支持的情况征求有关部门意见；</w:t>
      </w:r>
    </w:p>
    <w:p>
      <w:pPr>
        <w:spacing w:line="600" w:lineRule="exact"/>
        <w:ind w:firstLine="630"/>
        <w:rPr>
          <w:szCs w:val="32"/>
        </w:rPr>
      </w:pPr>
      <w:r>
        <w:rPr>
          <w:rFonts w:ascii="楷体_GB2312" w:hAnsi="楷体_GB2312" w:eastAsia="楷体_GB2312" w:cs="楷体_GB2312"/>
          <w:szCs w:val="32"/>
        </w:rPr>
        <w:t>（三）评审。</w:t>
      </w:r>
      <w:r>
        <w:rPr>
          <w:szCs w:val="32"/>
        </w:rPr>
        <w:t>市工业和信息化局组织专家或委托第三方对申报单位进行评审；</w:t>
      </w:r>
    </w:p>
    <w:p>
      <w:pPr>
        <w:spacing w:line="600" w:lineRule="exact"/>
        <w:ind w:firstLine="630"/>
        <w:rPr>
          <w:szCs w:val="32"/>
        </w:rPr>
      </w:pPr>
      <w:r>
        <w:rPr>
          <w:rFonts w:ascii="楷体_GB2312" w:hAnsi="楷体_GB2312" w:eastAsia="楷体_GB2312" w:cs="楷体_GB2312"/>
          <w:szCs w:val="32"/>
        </w:rPr>
        <w:t>（四）公示。</w:t>
      </w:r>
      <w:r>
        <w:rPr>
          <w:szCs w:val="32"/>
        </w:rPr>
        <w:t>市工业和信息化局组</w:t>
      </w:r>
      <w:r>
        <w:rPr>
          <w:kern w:val="0"/>
          <w:szCs w:val="32"/>
        </w:rPr>
        <w:t>根据评审结果</w:t>
      </w:r>
      <w:r>
        <w:rPr>
          <w:szCs w:val="32"/>
        </w:rPr>
        <w:t>拟定</w:t>
      </w:r>
      <w:r>
        <w:rPr>
          <w:rFonts w:hint="eastAsia"/>
          <w:szCs w:val="32"/>
        </w:rPr>
        <w:t>智能</w:t>
      </w:r>
      <w:r>
        <w:rPr>
          <w:szCs w:val="32"/>
        </w:rPr>
        <w:t>工厂名单，</w:t>
      </w:r>
      <w:r>
        <w:rPr>
          <w:rFonts w:hint="eastAsia"/>
          <w:szCs w:val="32"/>
        </w:rPr>
        <w:t>并进</w:t>
      </w:r>
      <w:r>
        <w:rPr>
          <w:szCs w:val="32"/>
        </w:rPr>
        <w:t>行社会公示7天；</w:t>
      </w:r>
    </w:p>
    <w:p>
      <w:pPr>
        <w:spacing w:line="600" w:lineRule="exact"/>
        <w:ind w:firstLine="630"/>
        <w:rPr>
          <w:szCs w:val="32"/>
        </w:rPr>
      </w:pPr>
      <w:r>
        <w:rPr>
          <w:rFonts w:ascii="楷体_GB2312" w:hAnsi="楷体_GB2312" w:eastAsia="楷体_GB2312" w:cs="楷体_GB2312"/>
          <w:szCs w:val="32"/>
        </w:rPr>
        <w:t>（五）认定。</w:t>
      </w:r>
      <w:r>
        <w:rPr>
          <w:rFonts w:hint="eastAsia"/>
          <w:szCs w:val="32"/>
        </w:rPr>
        <w:t>经</w:t>
      </w:r>
      <w:r>
        <w:rPr>
          <w:szCs w:val="32"/>
        </w:rPr>
        <w:t>社会公示无异议，由</w:t>
      </w:r>
      <w:r>
        <w:rPr>
          <w:kern w:val="0"/>
          <w:szCs w:val="32"/>
        </w:rPr>
        <w:t>市工业和信息化局报请市政府同意后，</w:t>
      </w:r>
      <w:r>
        <w:rPr>
          <w:szCs w:val="32"/>
        </w:rPr>
        <w:t>公布认定名单。</w:t>
      </w:r>
    </w:p>
    <w:p>
      <w:pPr>
        <w:spacing w:line="600" w:lineRule="exact"/>
        <w:ind w:firstLine="630"/>
        <w:rPr>
          <w:szCs w:val="32"/>
        </w:rPr>
      </w:pPr>
    </w:p>
    <w:p>
      <w:pPr>
        <w:spacing w:line="600" w:lineRule="exact"/>
        <w:ind w:firstLine="0" w:firstLineChars="0"/>
        <w:jc w:val="center"/>
        <w:rPr>
          <w:rFonts w:eastAsia="黑体"/>
          <w:szCs w:val="32"/>
        </w:rPr>
      </w:pPr>
      <w:r>
        <w:rPr>
          <w:rFonts w:hint="eastAsia" w:eastAsia="黑体"/>
          <w:szCs w:val="32"/>
        </w:rPr>
        <w:t xml:space="preserve">第四章 </w:t>
      </w:r>
      <w:r>
        <w:rPr>
          <w:rFonts w:eastAsia="黑体"/>
          <w:szCs w:val="32"/>
        </w:rPr>
        <w:t>管理</w:t>
      </w:r>
      <w:r>
        <w:rPr>
          <w:rFonts w:hint="eastAsia" w:eastAsia="黑体"/>
          <w:szCs w:val="32"/>
        </w:rPr>
        <w:t>服务</w:t>
      </w:r>
    </w:p>
    <w:p>
      <w:pPr>
        <w:spacing w:line="600" w:lineRule="exact"/>
        <w:ind w:firstLine="0" w:firstLineChars="0"/>
        <w:jc w:val="center"/>
        <w:rPr>
          <w:szCs w:val="32"/>
        </w:rPr>
      </w:pPr>
    </w:p>
    <w:p>
      <w:pPr>
        <w:spacing w:line="600" w:lineRule="exact"/>
        <w:ind w:firstLine="630"/>
        <w:rPr>
          <w:szCs w:val="32"/>
        </w:rPr>
      </w:pPr>
      <w:r>
        <w:rPr>
          <w:rFonts w:hint="eastAsia" w:ascii="黑体" w:hAnsi="黑体" w:eastAsia="黑体" w:cs="黑体"/>
          <w:szCs w:val="32"/>
        </w:rPr>
        <w:t>第九条</w:t>
      </w:r>
      <w:r>
        <w:rPr>
          <w:rFonts w:hint="eastAsia"/>
          <w:szCs w:val="32"/>
        </w:rPr>
        <w:t xml:space="preserve"> </w:t>
      </w:r>
      <w:r>
        <w:rPr>
          <w:szCs w:val="32"/>
        </w:rPr>
        <w:t xml:space="preserve"> </w:t>
      </w:r>
      <w:r>
        <w:rPr>
          <w:rFonts w:hint="eastAsia"/>
          <w:szCs w:val="32"/>
        </w:rPr>
        <w:t>对经认定并符合相关条件的智能</w:t>
      </w:r>
      <w:r>
        <w:rPr>
          <w:rFonts w:hint="eastAsia"/>
          <w:szCs w:val="32"/>
          <w:lang w:eastAsia="zh-CN"/>
        </w:rPr>
        <w:t>工厂</w:t>
      </w:r>
      <w:bookmarkStart w:id="0" w:name="_GoBack"/>
      <w:bookmarkEnd w:id="0"/>
      <w:r>
        <w:rPr>
          <w:rFonts w:hint="eastAsia"/>
          <w:szCs w:val="32"/>
        </w:rPr>
        <w:t>项目，可推荐申报国家、省相关试点项目和扶持引导资金。</w:t>
      </w:r>
    </w:p>
    <w:p>
      <w:pPr>
        <w:spacing w:line="600" w:lineRule="exact"/>
        <w:ind w:firstLine="630"/>
        <w:rPr>
          <w:szCs w:val="32"/>
        </w:rPr>
      </w:pPr>
      <w:r>
        <w:rPr>
          <w:rFonts w:hint="eastAsia" w:ascii="黑体" w:hAnsi="黑体" w:eastAsia="黑体" w:cs="黑体"/>
          <w:szCs w:val="32"/>
        </w:rPr>
        <w:t>第十条</w:t>
      </w:r>
      <w:r>
        <w:rPr>
          <w:rFonts w:hint="eastAsia"/>
          <w:szCs w:val="32"/>
        </w:rPr>
        <w:t xml:space="preserve">  被认定为智能工厂的企业按年度（连续</w:t>
      </w:r>
      <w:r>
        <w:rPr>
          <w:szCs w:val="32"/>
        </w:rPr>
        <w:t>3</w:t>
      </w:r>
      <w:r>
        <w:rPr>
          <w:rFonts w:hint="eastAsia"/>
          <w:szCs w:val="32"/>
        </w:rPr>
        <w:t>年）向市工</w:t>
      </w:r>
      <w:r>
        <w:rPr>
          <w:szCs w:val="32"/>
        </w:rPr>
        <w:t>业和信息化局</w:t>
      </w:r>
      <w:r>
        <w:rPr>
          <w:rFonts w:hint="eastAsia"/>
          <w:szCs w:val="32"/>
        </w:rPr>
        <w:t>报送企业运营及工厂情况。</w:t>
      </w:r>
    </w:p>
    <w:p>
      <w:pPr>
        <w:spacing w:line="600" w:lineRule="exact"/>
        <w:ind w:firstLine="630"/>
        <w:rPr>
          <w:szCs w:val="32"/>
        </w:rPr>
      </w:pPr>
      <w:r>
        <w:rPr>
          <w:rFonts w:hint="eastAsia" w:ascii="黑体" w:hAnsi="黑体" w:eastAsia="黑体" w:cs="黑体"/>
          <w:szCs w:val="32"/>
        </w:rPr>
        <w:t>第十一条</w:t>
      </w:r>
      <w:r>
        <w:rPr>
          <w:rFonts w:hint="eastAsia"/>
          <w:szCs w:val="32"/>
        </w:rPr>
        <w:t xml:space="preserve">  被认定为智能工厂的企业在不影响正常生产经营的情况下，应积极配合市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pPr>
        <w:spacing w:line="600" w:lineRule="exact"/>
        <w:ind w:firstLine="630"/>
        <w:rPr>
          <w:szCs w:val="32"/>
        </w:rPr>
      </w:pPr>
      <w:r>
        <w:rPr>
          <w:rFonts w:hint="eastAsia" w:ascii="黑体" w:hAnsi="黑体" w:eastAsia="黑体" w:cs="黑体"/>
          <w:szCs w:val="32"/>
        </w:rPr>
        <w:t>第十二条</w:t>
      </w:r>
      <w:r>
        <w:rPr>
          <w:rFonts w:hint="eastAsia"/>
          <w:szCs w:val="32"/>
        </w:rPr>
        <w:t xml:space="preserve">  有</w:t>
      </w:r>
      <w:r>
        <w:rPr>
          <w:szCs w:val="32"/>
        </w:rPr>
        <w:t>下列情况之一的，撤销其称号：</w:t>
      </w:r>
    </w:p>
    <w:p>
      <w:pPr>
        <w:spacing w:line="600" w:lineRule="exact"/>
        <w:ind w:firstLine="630"/>
        <w:rPr>
          <w:szCs w:val="32"/>
        </w:rPr>
      </w:pPr>
      <w:r>
        <w:rPr>
          <w:rFonts w:hint="eastAsia"/>
          <w:szCs w:val="32"/>
        </w:rPr>
        <w:t>（一</w:t>
      </w:r>
      <w:r>
        <w:rPr>
          <w:szCs w:val="32"/>
        </w:rPr>
        <w:t>）</w:t>
      </w:r>
      <w:r>
        <w:rPr>
          <w:rFonts w:hint="eastAsia"/>
          <w:szCs w:val="32"/>
        </w:rPr>
        <w:t>所</w:t>
      </w:r>
      <w:r>
        <w:rPr>
          <w:szCs w:val="32"/>
        </w:rPr>
        <w:t>在企业在申请过程中提供虚假信息、</w:t>
      </w:r>
      <w:r>
        <w:rPr>
          <w:rFonts w:hint="eastAsia"/>
          <w:szCs w:val="32"/>
        </w:rPr>
        <w:t>违反</w:t>
      </w:r>
      <w:r>
        <w:rPr>
          <w:szCs w:val="32"/>
        </w:rPr>
        <w:t>相关</w:t>
      </w:r>
      <w:r>
        <w:rPr>
          <w:rFonts w:hint="eastAsia"/>
          <w:szCs w:val="32"/>
        </w:rPr>
        <w:t>规定</w:t>
      </w:r>
      <w:r>
        <w:rPr>
          <w:szCs w:val="32"/>
        </w:rPr>
        <w:t>或其它违法行为。</w:t>
      </w:r>
    </w:p>
    <w:p>
      <w:pPr>
        <w:spacing w:line="600" w:lineRule="exact"/>
        <w:ind w:firstLine="630"/>
        <w:rPr>
          <w:szCs w:val="32"/>
        </w:rPr>
      </w:pPr>
      <w:r>
        <w:rPr>
          <w:rFonts w:hint="eastAsia"/>
          <w:szCs w:val="32"/>
        </w:rPr>
        <w:t>（二</w:t>
      </w:r>
      <w:r>
        <w:rPr>
          <w:szCs w:val="32"/>
        </w:rPr>
        <w:t>）</w:t>
      </w:r>
      <w:r>
        <w:rPr>
          <w:rFonts w:hint="eastAsia"/>
          <w:szCs w:val="32"/>
        </w:rPr>
        <w:t>所在</w:t>
      </w:r>
      <w:r>
        <w:rPr>
          <w:szCs w:val="32"/>
        </w:rPr>
        <w:t>企业被依法终止。</w:t>
      </w:r>
    </w:p>
    <w:p>
      <w:pPr>
        <w:spacing w:line="600" w:lineRule="exact"/>
        <w:ind w:firstLine="630"/>
        <w:rPr>
          <w:szCs w:val="32"/>
        </w:rPr>
      </w:pPr>
      <w:r>
        <w:rPr>
          <w:rFonts w:hint="eastAsia"/>
          <w:szCs w:val="32"/>
        </w:rPr>
        <w:t>（三</w:t>
      </w:r>
      <w:r>
        <w:rPr>
          <w:szCs w:val="32"/>
        </w:rPr>
        <w:t>）</w:t>
      </w:r>
      <w:r>
        <w:rPr>
          <w:rFonts w:hint="eastAsia"/>
          <w:szCs w:val="32"/>
        </w:rPr>
        <w:t>发</w:t>
      </w:r>
      <w:r>
        <w:rPr>
          <w:szCs w:val="32"/>
        </w:rPr>
        <w:t>生重大环保、安全、质量事故。</w:t>
      </w:r>
    </w:p>
    <w:p>
      <w:pPr>
        <w:spacing w:line="600" w:lineRule="exact"/>
        <w:ind w:firstLine="630"/>
        <w:rPr>
          <w:szCs w:val="32"/>
        </w:rPr>
      </w:pPr>
      <w:r>
        <w:rPr>
          <w:rFonts w:hint="eastAsia"/>
          <w:szCs w:val="32"/>
        </w:rPr>
        <w:t>（四</w:t>
      </w:r>
      <w:r>
        <w:rPr>
          <w:szCs w:val="32"/>
        </w:rPr>
        <w:t>）</w:t>
      </w:r>
      <w:r>
        <w:rPr>
          <w:rFonts w:hint="eastAsia"/>
          <w:szCs w:val="32"/>
        </w:rPr>
        <w:t>有</w:t>
      </w:r>
      <w:r>
        <w:rPr>
          <w:szCs w:val="32"/>
        </w:rPr>
        <w:t>其他影响认定的违法、违规行为受到有关部门</w:t>
      </w:r>
      <w:r>
        <w:rPr>
          <w:rFonts w:hint="eastAsia"/>
          <w:szCs w:val="32"/>
        </w:rPr>
        <w:t>处罚</w:t>
      </w:r>
      <w:r>
        <w:rPr>
          <w:szCs w:val="32"/>
        </w:rPr>
        <w:t>不再符合</w:t>
      </w:r>
      <w:r>
        <w:rPr>
          <w:rFonts w:hint="eastAsia"/>
          <w:szCs w:val="32"/>
        </w:rPr>
        <w:t>认</w:t>
      </w:r>
      <w:r>
        <w:rPr>
          <w:szCs w:val="32"/>
        </w:rPr>
        <w:t>定条件的。</w:t>
      </w:r>
    </w:p>
    <w:p>
      <w:pPr>
        <w:ind w:firstLine="630"/>
      </w:pPr>
    </w:p>
    <w:p>
      <w:pPr>
        <w:ind w:firstLine="630"/>
        <w:jc w:val="center"/>
        <w:rPr>
          <w:rFonts w:eastAsia="黑体" w:cs="Times New Roman"/>
          <w:szCs w:val="32"/>
        </w:rPr>
      </w:pPr>
      <w:r>
        <w:rPr>
          <w:rFonts w:eastAsia="黑体" w:cs="Times New Roman"/>
          <w:szCs w:val="32"/>
        </w:rPr>
        <w:t>第</w:t>
      </w:r>
      <w:r>
        <w:rPr>
          <w:rFonts w:hint="eastAsia" w:eastAsia="黑体" w:cs="Times New Roman"/>
          <w:szCs w:val="32"/>
        </w:rPr>
        <w:t>五</w:t>
      </w:r>
      <w:r>
        <w:rPr>
          <w:rFonts w:eastAsia="黑体" w:cs="Times New Roman"/>
          <w:szCs w:val="32"/>
        </w:rPr>
        <w:t>章 附则</w:t>
      </w:r>
    </w:p>
    <w:p>
      <w:pPr>
        <w:tabs>
          <w:tab w:val="left" w:pos="360"/>
        </w:tabs>
        <w:ind w:firstLine="630"/>
        <w:rPr>
          <w:rFonts w:ascii="仿宋_GB2312" w:hAnsi="仿宋_GB2312" w:cs="仿宋_GB2312"/>
          <w:szCs w:val="32"/>
          <w:highlight w:val="yellow"/>
        </w:rPr>
      </w:pPr>
      <w:r>
        <w:rPr>
          <w:rFonts w:hint="eastAsia" w:ascii="黑体" w:hAnsi="黑体" w:eastAsia="黑体" w:cs="黑体"/>
          <w:szCs w:val="32"/>
        </w:rPr>
        <w:t>第十三条</w:t>
      </w:r>
      <w:r>
        <w:rPr>
          <w:rFonts w:hint="eastAsia" w:ascii="仿宋_GB2312" w:hAnsi="仿宋_GB2312" w:cs="仿宋_GB2312"/>
          <w:szCs w:val="32"/>
        </w:rPr>
        <w:t xml:space="preserve">  本办法涉及的智能工厂申报材料要求等，由市工业和信息化局发布并适时调整。</w:t>
      </w:r>
    </w:p>
    <w:p>
      <w:pPr>
        <w:ind w:firstLine="630"/>
        <w:rPr>
          <w:rFonts w:ascii="仿宋_GB2312" w:hAnsi="仿宋_GB2312" w:cs="仿宋_GB2312"/>
          <w:szCs w:val="32"/>
        </w:rPr>
      </w:pPr>
      <w:r>
        <w:rPr>
          <w:rFonts w:hint="eastAsia" w:ascii="黑体" w:hAnsi="黑体" w:eastAsia="黑体" w:cs="黑体"/>
          <w:szCs w:val="32"/>
        </w:rPr>
        <w:t>第十四条</w:t>
      </w:r>
      <w:r>
        <w:rPr>
          <w:rFonts w:hint="eastAsia" w:ascii="仿宋_GB2312" w:hAnsi="仿宋_GB2312" w:cs="仿宋_GB2312"/>
          <w:szCs w:val="32"/>
        </w:rPr>
        <w:t xml:space="preserve">  本办法自2022年**月**日起执行，有效期至2025年</w:t>
      </w:r>
      <w:r>
        <w:rPr>
          <w:rFonts w:ascii="仿宋_GB2312" w:hAnsi="仿宋_GB2312" w:cs="仿宋_GB2312"/>
          <w:szCs w:val="32"/>
        </w:rPr>
        <w:t>12</w:t>
      </w:r>
      <w:r>
        <w:rPr>
          <w:rFonts w:hint="eastAsia" w:ascii="仿宋_GB2312" w:hAnsi="仿宋_GB2312" w:cs="仿宋_GB2312"/>
          <w:szCs w:val="32"/>
        </w:rPr>
        <w:t>月31日。</w:t>
      </w:r>
    </w:p>
    <w:p>
      <w:pPr>
        <w:ind w:firstLine="630"/>
        <w:rPr>
          <w:rFonts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 xml:space="preserve">  本办法由市工业和信息化局负责解释。</w:t>
      </w:r>
    </w:p>
    <w:p>
      <w:pPr>
        <w:ind w:firstLine="63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titlePg/>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00739"/>
      <w:docPartObj>
        <w:docPartGallery w:val="autotext"/>
      </w:docPartObj>
    </w:sdtPr>
    <w:sdtEndPr>
      <w:rPr>
        <w:rFonts w:cs="Times New Roman"/>
        <w:sz w:val="28"/>
        <w:szCs w:val="28"/>
      </w:rPr>
    </w:sdtEndPr>
    <w:sdtContent>
      <w:p>
        <w:pPr>
          <w:pStyle w:val="5"/>
          <w:ind w:firstLine="360"/>
          <w:jc w:val="right"/>
          <w:rPr>
            <w:rFonts w:cs="Times New Roman"/>
            <w:sz w:val="28"/>
            <w:szCs w:val="28"/>
          </w:rPr>
        </w:pPr>
        <w:r>
          <w:rPr>
            <w:sz w:val="28"/>
            <w:szCs w:val="28"/>
          </w:rPr>
          <w:t>—</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5</w:t>
        </w:r>
        <w:r>
          <w:rPr>
            <w:rFonts w:cs="Times New Roman"/>
            <w:sz w:val="28"/>
            <w:szCs w:val="28"/>
          </w:rPr>
          <w:fldChar w:fldCharType="end"/>
        </w:r>
        <w:r>
          <w:rPr>
            <w:sz w:val="28"/>
            <w:szCs w:val="28"/>
          </w:rPr>
          <w:t>—</w:t>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728717"/>
      <w:docPartObj>
        <w:docPartGallery w:val="autotext"/>
      </w:docPartObj>
    </w:sdtPr>
    <w:sdtEndPr>
      <w:rPr>
        <w:rFonts w:cs="Times New Roman"/>
        <w:sz w:val="28"/>
        <w:szCs w:val="28"/>
      </w:rPr>
    </w:sdtEndPr>
    <w:sdtContent>
      <w:p>
        <w:pPr>
          <w:pStyle w:val="5"/>
          <w:ind w:firstLine="360"/>
          <w:rPr>
            <w:rFonts w:cs="Times New Roman"/>
            <w:sz w:val="28"/>
            <w:szCs w:val="28"/>
          </w:rPr>
        </w:pPr>
        <w:r>
          <w:rPr>
            <w:sz w:val="28"/>
            <w:szCs w:val="28"/>
          </w:rPr>
          <w:t>—</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4</w:t>
        </w:r>
        <w:r>
          <w:rPr>
            <w:rFonts w:cs="Times New Roman"/>
            <w:sz w:val="28"/>
            <w:szCs w:val="28"/>
          </w:rPr>
          <w:fldChar w:fldCharType="end"/>
        </w:r>
        <w:r>
          <w:rPr>
            <w:sz w:val="28"/>
            <w:szCs w:val="28"/>
          </w:rPr>
          <w:t>—</w:t>
        </w:r>
      </w:p>
    </w:sdtContent>
  </w:sdt>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315"/>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E9"/>
    <w:rsid w:val="000079DD"/>
    <w:rsid w:val="00021BC5"/>
    <w:rsid w:val="00024FA5"/>
    <w:rsid w:val="00052EA4"/>
    <w:rsid w:val="00074BD0"/>
    <w:rsid w:val="000A4BFD"/>
    <w:rsid w:val="00154640"/>
    <w:rsid w:val="001708B0"/>
    <w:rsid w:val="00181069"/>
    <w:rsid w:val="00183C19"/>
    <w:rsid w:val="001A301F"/>
    <w:rsid w:val="001B7A43"/>
    <w:rsid w:val="001E2ABC"/>
    <w:rsid w:val="001E5A59"/>
    <w:rsid w:val="00211359"/>
    <w:rsid w:val="00214A51"/>
    <w:rsid w:val="00233B2D"/>
    <w:rsid w:val="00245FAE"/>
    <w:rsid w:val="002513E9"/>
    <w:rsid w:val="002639C4"/>
    <w:rsid w:val="00296B84"/>
    <w:rsid w:val="002A671A"/>
    <w:rsid w:val="002B7BD9"/>
    <w:rsid w:val="0030093A"/>
    <w:rsid w:val="00300F48"/>
    <w:rsid w:val="00312442"/>
    <w:rsid w:val="003238A9"/>
    <w:rsid w:val="00324A08"/>
    <w:rsid w:val="00353624"/>
    <w:rsid w:val="00367B65"/>
    <w:rsid w:val="00385A20"/>
    <w:rsid w:val="003B0ADB"/>
    <w:rsid w:val="003B23D7"/>
    <w:rsid w:val="003B34A0"/>
    <w:rsid w:val="003B5F99"/>
    <w:rsid w:val="003E6B41"/>
    <w:rsid w:val="00416D0E"/>
    <w:rsid w:val="004439F7"/>
    <w:rsid w:val="00476E36"/>
    <w:rsid w:val="00487C22"/>
    <w:rsid w:val="004A3828"/>
    <w:rsid w:val="004E4918"/>
    <w:rsid w:val="004F2C54"/>
    <w:rsid w:val="00512719"/>
    <w:rsid w:val="0052475C"/>
    <w:rsid w:val="0056218E"/>
    <w:rsid w:val="005646B4"/>
    <w:rsid w:val="00572471"/>
    <w:rsid w:val="005B6326"/>
    <w:rsid w:val="005C5A4C"/>
    <w:rsid w:val="00606BCE"/>
    <w:rsid w:val="00664775"/>
    <w:rsid w:val="00675BEC"/>
    <w:rsid w:val="0068159D"/>
    <w:rsid w:val="006850D5"/>
    <w:rsid w:val="00693F4B"/>
    <w:rsid w:val="00726058"/>
    <w:rsid w:val="00735D4D"/>
    <w:rsid w:val="00754649"/>
    <w:rsid w:val="00757F91"/>
    <w:rsid w:val="0077793D"/>
    <w:rsid w:val="007966C4"/>
    <w:rsid w:val="007F24D9"/>
    <w:rsid w:val="00807725"/>
    <w:rsid w:val="0081417F"/>
    <w:rsid w:val="00853933"/>
    <w:rsid w:val="008942A3"/>
    <w:rsid w:val="00896E2E"/>
    <w:rsid w:val="008B323F"/>
    <w:rsid w:val="008E2507"/>
    <w:rsid w:val="00900D10"/>
    <w:rsid w:val="0090685B"/>
    <w:rsid w:val="009251A0"/>
    <w:rsid w:val="009276F3"/>
    <w:rsid w:val="00930ED8"/>
    <w:rsid w:val="00936DD4"/>
    <w:rsid w:val="00950F29"/>
    <w:rsid w:val="0097606C"/>
    <w:rsid w:val="009A0A6F"/>
    <w:rsid w:val="00A64FE2"/>
    <w:rsid w:val="00A86796"/>
    <w:rsid w:val="00A903A2"/>
    <w:rsid w:val="00AA4CD7"/>
    <w:rsid w:val="00AD25F6"/>
    <w:rsid w:val="00AD3F96"/>
    <w:rsid w:val="00AE09CE"/>
    <w:rsid w:val="00AE2B73"/>
    <w:rsid w:val="00B04EF2"/>
    <w:rsid w:val="00B126AF"/>
    <w:rsid w:val="00B23FE5"/>
    <w:rsid w:val="00B37997"/>
    <w:rsid w:val="00B45DA4"/>
    <w:rsid w:val="00B47385"/>
    <w:rsid w:val="00B70EC3"/>
    <w:rsid w:val="00B9452D"/>
    <w:rsid w:val="00BE1C5F"/>
    <w:rsid w:val="00BF002A"/>
    <w:rsid w:val="00C34A21"/>
    <w:rsid w:val="00C47CEF"/>
    <w:rsid w:val="00C978F7"/>
    <w:rsid w:val="00CB0116"/>
    <w:rsid w:val="00CE21E6"/>
    <w:rsid w:val="00CF36CB"/>
    <w:rsid w:val="00CF6FF9"/>
    <w:rsid w:val="00D107A1"/>
    <w:rsid w:val="00D12B82"/>
    <w:rsid w:val="00D2278B"/>
    <w:rsid w:val="00D610E5"/>
    <w:rsid w:val="00DD1FDA"/>
    <w:rsid w:val="00DE4A7C"/>
    <w:rsid w:val="00E02BB9"/>
    <w:rsid w:val="00E35653"/>
    <w:rsid w:val="00E43DBE"/>
    <w:rsid w:val="00EB4CC0"/>
    <w:rsid w:val="00EC5AD1"/>
    <w:rsid w:val="00ED45B8"/>
    <w:rsid w:val="00F572AF"/>
    <w:rsid w:val="00F650E3"/>
    <w:rsid w:val="00F65774"/>
    <w:rsid w:val="00FB1881"/>
    <w:rsid w:val="00FD674B"/>
    <w:rsid w:val="00FE44F9"/>
    <w:rsid w:val="00FF5F37"/>
    <w:rsid w:val="157D3655"/>
    <w:rsid w:val="FFEE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keepNext/>
      <w:keepLines/>
      <w:outlineLvl w:val="0"/>
    </w:pPr>
    <w:rPr>
      <w:rFonts w:eastAsia="黑体"/>
      <w:bCs/>
      <w:kern w:val="44"/>
      <w:szCs w:val="44"/>
    </w:rPr>
  </w:style>
  <w:style w:type="paragraph" w:styleId="3">
    <w:name w:val="heading 2"/>
    <w:basedOn w:val="1"/>
    <w:next w:val="1"/>
    <w:link w:val="13"/>
    <w:semiHidden/>
    <w:unhideWhenUsed/>
    <w:qFormat/>
    <w:uiPriority w:val="9"/>
    <w:pPr>
      <w:keepNext/>
      <w:keepLines/>
      <w:outlineLvl w:val="1"/>
    </w:pPr>
    <w:rPr>
      <w:rFonts w:eastAsia="楷体_GB2312" w:asciiTheme="majorHAnsi" w:hAnsiTheme="majorHAnsi" w:cstheme="majorBidi"/>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unhideWhenUsed/>
    <w:qFormat/>
    <w:uiPriority w:val="99"/>
    <w:pPr>
      <w:spacing w:line="240" w:lineRule="auto"/>
      <w:ind w:firstLine="0" w:firstLineChars="0"/>
    </w:pPr>
    <w:rPr>
      <w:rFonts w:eastAsia="宋体" w:cs="Times New Roman"/>
      <w:sz w:val="30"/>
      <w:szCs w:val="2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7"/>
    <w:qFormat/>
    <w:uiPriority w:val="11"/>
    <w:pPr>
      <w:ind w:firstLine="0" w:firstLineChars="0"/>
      <w:jc w:val="left"/>
    </w:pPr>
    <w:rPr>
      <w:rFonts w:ascii="黑体" w:hAnsi="黑体" w:eastAsia="黑体" w:cstheme="majorBidi"/>
      <w:bCs/>
      <w:kern w:val="28"/>
      <w:szCs w:val="32"/>
    </w:rPr>
  </w:style>
  <w:style w:type="paragraph" w:styleId="8">
    <w:name w:val="Title"/>
    <w:basedOn w:val="1"/>
    <w:next w:val="1"/>
    <w:link w:val="15"/>
    <w:qFormat/>
    <w:uiPriority w:val="10"/>
    <w:pPr>
      <w:jc w:val="center"/>
    </w:pPr>
    <w:rPr>
      <w:rFonts w:asciiTheme="majorHAnsi" w:hAnsiTheme="majorHAnsi" w:cstheme="majorBidi"/>
      <w:bCs/>
      <w:szCs w:val="32"/>
    </w:rPr>
  </w:style>
  <w:style w:type="character" w:customStyle="1" w:styleId="11">
    <w:name w:val="页眉 Char"/>
    <w:basedOn w:val="10"/>
    <w:link w:val="6"/>
    <w:qFormat/>
    <w:uiPriority w:val="99"/>
    <w:rPr>
      <w:rFonts w:eastAsia="仿宋_GB2312"/>
      <w:sz w:val="18"/>
      <w:szCs w:val="18"/>
    </w:rPr>
  </w:style>
  <w:style w:type="character" w:customStyle="1" w:styleId="12">
    <w:name w:val="页脚 Char"/>
    <w:basedOn w:val="10"/>
    <w:link w:val="5"/>
    <w:qFormat/>
    <w:uiPriority w:val="99"/>
    <w:rPr>
      <w:rFonts w:eastAsia="仿宋_GB2312"/>
      <w:sz w:val="18"/>
      <w:szCs w:val="18"/>
    </w:rPr>
  </w:style>
  <w:style w:type="character" w:customStyle="1" w:styleId="13">
    <w:name w:val="标题 2 Char"/>
    <w:basedOn w:val="10"/>
    <w:link w:val="3"/>
    <w:semiHidden/>
    <w:qFormat/>
    <w:uiPriority w:val="9"/>
    <w:rPr>
      <w:rFonts w:eastAsia="楷体_GB2312" w:asciiTheme="majorHAnsi" w:hAnsiTheme="majorHAnsi" w:cstheme="majorBidi"/>
      <w:bCs/>
      <w:sz w:val="32"/>
      <w:szCs w:val="32"/>
    </w:rPr>
  </w:style>
  <w:style w:type="character" w:customStyle="1" w:styleId="14">
    <w:name w:val="标题 1 Char"/>
    <w:basedOn w:val="10"/>
    <w:link w:val="2"/>
    <w:qFormat/>
    <w:uiPriority w:val="9"/>
    <w:rPr>
      <w:rFonts w:eastAsia="黑体"/>
      <w:bCs/>
      <w:kern w:val="44"/>
      <w:sz w:val="32"/>
      <w:szCs w:val="44"/>
    </w:rPr>
  </w:style>
  <w:style w:type="character" w:customStyle="1" w:styleId="15">
    <w:name w:val="标题 Char"/>
    <w:basedOn w:val="10"/>
    <w:link w:val="8"/>
    <w:qFormat/>
    <w:uiPriority w:val="10"/>
    <w:rPr>
      <w:rFonts w:eastAsia="仿宋_GB2312" w:asciiTheme="majorHAnsi" w:hAnsiTheme="majorHAnsi" w:cstheme="majorBidi"/>
      <w:bCs/>
      <w:sz w:val="32"/>
      <w:szCs w:val="32"/>
    </w:rPr>
  </w:style>
  <w:style w:type="paragraph" w:styleId="16">
    <w:name w:val="No Spacing"/>
    <w:qFormat/>
    <w:uiPriority w:val="1"/>
    <w:pPr>
      <w:widowControl w:val="0"/>
      <w:spacing w:line="579" w:lineRule="exact"/>
      <w:jc w:val="center"/>
    </w:pPr>
    <w:rPr>
      <w:rFonts w:ascii="Times New Roman" w:hAnsi="Times New Roman" w:eastAsia="方正小标宋简体" w:cstheme="minorBidi"/>
      <w:kern w:val="2"/>
      <w:sz w:val="44"/>
      <w:szCs w:val="22"/>
      <w:lang w:val="en-US" w:eastAsia="zh-CN" w:bidi="ar-SA"/>
    </w:rPr>
  </w:style>
  <w:style w:type="character" w:customStyle="1" w:styleId="17">
    <w:name w:val="副标题 Char"/>
    <w:basedOn w:val="10"/>
    <w:link w:val="7"/>
    <w:qFormat/>
    <w:uiPriority w:val="11"/>
    <w:rPr>
      <w:rFonts w:ascii="黑体" w:hAnsi="黑体" w:eastAsia="黑体" w:cstheme="majorBidi"/>
      <w:bCs/>
      <w:kern w:val="28"/>
      <w:szCs w:val="32"/>
    </w:rPr>
  </w:style>
  <w:style w:type="character" w:customStyle="1" w:styleId="18">
    <w:name w:val="正文文本 Char"/>
    <w:basedOn w:val="10"/>
    <w:link w:val="4"/>
    <w:qFormat/>
    <w:uiPriority w:val="99"/>
    <w:rPr>
      <w:rFonts w:eastAsia="宋体"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JXJ</Company>
  <Pages>5</Pages>
  <Words>295</Words>
  <Characters>1682</Characters>
  <Lines>14</Lines>
  <Paragraphs>3</Paragraphs>
  <TotalTime>306</TotalTime>
  <ScaleCrop>false</ScaleCrop>
  <LinksUpToDate>false</LinksUpToDate>
  <CharactersWithSpaces>1974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2022-04-19T22:19:00Z</dcterms:created>
  <dc:creator>Weizong</dc:creator>
  <cp:lastModifiedBy>uos</cp:lastModifiedBy>
  <dcterms:modified xsi:type="dcterms:W3CDTF">2022-06-21T10:34:02Z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